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9B" w:rsidRDefault="005E749B" w:rsidP="005E749B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  <w:lang w:eastAsia="zh-CN"/>
        </w:rPr>
      </w:pPr>
      <w:r w:rsidRPr="005E749B">
        <w:rPr>
          <w:rFonts w:ascii="Times New Roman" w:eastAsia="方正小标宋_GBK" w:hAnsi="Times New Roman" w:cs="Times New Roman" w:hint="eastAsia"/>
          <w:sz w:val="44"/>
          <w:szCs w:val="44"/>
          <w:lang w:eastAsia="zh-CN"/>
        </w:rPr>
        <w:t>南京市妇幼保健院</w:t>
      </w:r>
    </w:p>
    <w:p w:rsidR="005A4AB6" w:rsidRDefault="005E749B" w:rsidP="005E749B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  <w:lang w:eastAsia="zh-CN"/>
        </w:rPr>
      </w:pPr>
      <w:r w:rsidRPr="005E749B">
        <w:rPr>
          <w:rFonts w:ascii="Times New Roman" w:eastAsia="方正小标宋_GBK" w:hAnsi="Times New Roman" w:cs="Times New Roman" w:hint="eastAsia"/>
          <w:sz w:val="44"/>
          <w:szCs w:val="44"/>
          <w:lang w:eastAsia="zh-CN"/>
        </w:rPr>
        <w:t>丁家</w:t>
      </w:r>
      <w:proofErr w:type="gramStart"/>
      <w:r w:rsidRPr="005E749B">
        <w:rPr>
          <w:rFonts w:ascii="Times New Roman" w:eastAsia="方正小标宋_GBK" w:hAnsi="Times New Roman" w:cs="Times New Roman" w:hint="eastAsia"/>
          <w:sz w:val="44"/>
          <w:szCs w:val="44"/>
          <w:lang w:eastAsia="zh-CN"/>
        </w:rPr>
        <w:t>庄院区</w:t>
      </w:r>
      <w:proofErr w:type="gramEnd"/>
      <w:r w:rsidRPr="005E749B">
        <w:rPr>
          <w:rFonts w:ascii="Times New Roman" w:eastAsia="方正小标宋_GBK" w:hAnsi="Times New Roman" w:cs="Times New Roman" w:hint="eastAsia"/>
          <w:sz w:val="44"/>
          <w:szCs w:val="44"/>
          <w:lang w:eastAsia="zh-CN"/>
        </w:rPr>
        <w:t>建设专项</w:t>
      </w:r>
      <w:proofErr w:type="gramStart"/>
      <w:r w:rsidRPr="005E749B">
        <w:rPr>
          <w:rFonts w:ascii="Times New Roman" w:eastAsia="方正小标宋_GBK" w:hAnsi="Times New Roman" w:cs="Times New Roman" w:hint="eastAsia"/>
          <w:sz w:val="44"/>
          <w:szCs w:val="44"/>
          <w:lang w:eastAsia="zh-CN"/>
        </w:rPr>
        <w:t>债项目</w:t>
      </w:r>
      <w:proofErr w:type="gramEnd"/>
      <w:r w:rsidRPr="005E749B">
        <w:rPr>
          <w:rFonts w:ascii="Times New Roman" w:eastAsia="方正小标宋_GBK" w:hAnsi="Times New Roman" w:cs="Times New Roman" w:hint="eastAsia"/>
          <w:sz w:val="44"/>
          <w:szCs w:val="44"/>
          <w:lang w:eastAsia="zh-CN"/>
        </w:rPr>
        <w:t>自评价报告</w:t>
      </w:r>
    </w:p>
    <w:p w:rsidR="005E749B" w:rsidRPr="005E749B" w:rsidRDefault="005E749B" w:rsidP="005E749B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  <w:lang w:eastAsia="zh-CN"/>
        </w:rPr>
      </w:pPr>
    </w:p>
    <w:p w:rsidR="005A4AB6" w:rsidRDefault="00B23E9C">
      <w:pPr>
        <w:spacing w:line="560" w:lineRule="exact"/>
        <w:ind w:firstLineChars="200" w:firstLine="600"/>
        <w:jc w:val="both"/>
        <w:rPr>
          <w:rFonts w:ascii="Times New Roman" w:eastAsia="黑体" w:hAnsi="Times New Roman" w:cs="Times New Roman"/>
          <w:sz w:val="30"/>
          <w:szCs w:val="30"/>
          <w:lang w:eastAsia="zh-CN"/>
        </w:rPr>
      </w:pPr>
      <w:r>
        <w:rPr>
          <w:rFonts w:ascii="Times New Roman" w:eastAsia="黑体" w:hAnsi="Times New Roman" w:cs="Times New Roman"/>
          <w:sz w:val="30"/>
          <w:szCs w:val="30"/>
          <w:lang w:eastAsia="zh-CN"/>
        </w:rPr>
        <w:t>一、项目情况</w:t>
      </w:r>
    </w:p>
    <w:p w:rsidR="005A4AB6" w:rsidRDefault="00B23E9C" w:rsidP="007A74BC">
      <w:pPr>
        <w:spacing w:line="560" w:lineRule="exact"/>
        <w:ind w:firstLineChars="200" w:firstLine="592"/>
        <w:jc w:val="both"/>
        <w:rPr>
          <w:rFonts w:ascii="方正楷体_GBK" w:eastAsia="方正楷体_GBK" w:hAnsi="方正楷体_GBK" w:cs="方正楷体_GBK"/>
          <w:spacing w:val="-4"/>
          <w:sz w:val="30"/>
          <w:szCs w:val="30"/>
          <w:lang w:eastAsia="zh-CN"/>
        </w:rPr>
      </w:pPr>
      <w:r>
        <w:rPr>
          <w:rFonts w:ascii="方正楷体_GBK" w:eastAsia="方正楷体_GBK" w:hAnsi="方正楷体_GBK" w:cs="方正楷体_GBK" w:hint="eastAsia"/>
          <w:spacing w:val="-4"/>
          <w:sz w:val="30"/>
          <w:szCs w:val="30"/>
          <w:lang w:eastAsia="zh-CN"/>
        </w:rPr>
        <w:t>（一）项目概况</w:t>
      </w:r>
    </w:p>
    <w:p w:rsidR="005A4AB6" w:rsidRDefault="00B23E9C" w:rsidP="007A74BC">
      <w:pPr>
        <w:spacing w:line="560" w:lineRule="exact"/>
        <w:ind w:firstLineChars="200" w:firstLine="592"/>
        <w:jc w:val="both"/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</w:pPr>
      <w:r w:rsidRPr="00F048B7"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南京市妇幼保健院丁家</w:t>
      </w:r>
      <w:proofErr w:type="gramStart"/>
      <w:r w:rsidRPr="00F048B7"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庄院区</w:t>
      </w:r>
      <w:proofErr w:type="gramEnd"/>
      <w:r w:rsidRPr="00F048B7"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建设项目</w:t>
      </w:r>
      <w:r w:rsidR="00F048B7" w:rsidRPr="00F048B7">
        <w:rPr>
          <w:rFonts w:ascii="Times New Roman" w:eastAsia="方正仿宋_GBK" w:hAnsi="Times New Roman" w:cs="Times New Roman" w:hint="eastAsia"/>
          <w:spacing w:val="-4"/>
          <w:sz w:val="30"/>
          <w:szCs w:val="30"/>
          <w:lang w:eastAsia="zh-CN"/>
        </w:rPr>
        <w:t>是</w:t>
      </w:r>
      <w:r w:rsidRPr="00F048B7"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在南京市老城区外的城北地区建设市妇幼保健院丁家庄院区，同时保留位于市中心的</w:t>
      </w:r>
      <w:proofErr w:type="gramStart"/>
      <w:r w:rsidRPr="00F048B7"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莫愁路院区</w:t>
      </w:r>
      <w:proofErr w:type="gramEnd"/>
      <w:r w:rsidR="00F048B7">
        <w:rPr>
          <w:rFonts w:ascii="Times New Roman" w:eastAsia="方正仿宋_GBK" w:hAnsi="Times New Roman" w:cs="Times New Roman" w:hint="eastAsia"/>
          <w:spacing w:val="-4"/>
          <w:sz w:val="30"/>
          <w:szCs w:val="30"/>
          <w:lang w:eastAsia="zh-CN"/>
        </w:rPr>
        <w:t>。</w:t>
      </w:r>
      <w:r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本项目建设有利于市妇幼两院区协同发展，更好地为南京及周边地区提供优质的妇幼保健服务；有利于市妇幼创建国家区域医疗中心，打造全国领先的妇幼学科；有利于提供更大规模的接诊能力和辐射范围，延续省内龙头的妇幼专科地位，提升南京城市医疗首位度；有利于南京市进一步优化城市医疗资源布局，促进优质医疗资源均衡发展；有利于省市医疗健康发展规划目标的实现，推进妇幼健康事业向更高层次发展。</w:t>
      </w:r>
    </w:p>
    <w:p w:rsidR="005A4AB6" w:rsidRDefault="00B23E9C" w:rsidP="007A74BC">
      <w:pPr>
        <w:spacing w:line="560" w:lineRule="exact"/>
        <w:ind w:firstLineChars="200" w:firstLine="592"/>
        <w:jc w:val="both"/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</w:pPr>
      <w:r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建设内容及规模：总建筑面积</w:t>
      </w:r>
      <w:r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293000</w:t>
      </w:r>
      <w:r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平方米。地上建筑面积</w:t>
      </w:r>
      <w:r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150000</w:t>
      </w:r>
      <w:r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平方米，其中急诊急救部</w:t>
      </w:r>
      <w:r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4750</w:t>
      </w:r>
      <w:r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平方米，门诊部</w:t>
      </w:r>
      <w:r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36350</w:t>
      </w:r>
      <w:r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平方米，医技部</w:t>
      </w:r>
      <w:r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36900</w:t>
      </w:r>
      <w:r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平方米，住院部</w:t>
      </w:r>
      <w:r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55400</w:t>
      </w:r>
      <w:r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平方米，院内生活</w:t>
      </w:r>
      <w:r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7600</w:t>
      </w:r>
      <w:r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平方米，科研用房</w:t>
      </w:r>
      <w:r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4000</w:t>
      </w:r>
      <w:r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平方米，行政管理用房</w:t>
      </w:r>
      <w:r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5000</w:t>
      </w:r>
      <w:r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平方米；地下建筑面积</w:t>
      </w:r>
      <w:r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143000</w:t>
      </w:r>
      <w:r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平方米，其中地下保障系统</w:t>
      </w:r>
      <w:r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19000</w:t>
      </w:r>
      <w:r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平方米，服务配套用房</w:t>
      </w:r>
      <w:r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9600</w:t>
      </w:r>
      <w:r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平方米，人防救护工程（战时医院）</w:t>
      </w:r>
      <w:r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4500</w:t>
      </w:r>
      <w:r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平方米，地下车库</w:t>
      </w:r>
      <w:r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96000</w:t>
      </w:r>
      <w:r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平方米，医疗库房等其他用房</w:t>
      </w:r>
      <w:r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13900</w:t>
      </w:r>
      <w:r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平方米。</w:t>
      </w:r>
    </w:p>
    <w:p w:rsidR="005A4AB6" w:rsidRDefault="00B23E9C" w:rsidP="007A74BC">
      <w:pPr>
        <w:spacing w:line="560" w:lineRule="exact"/>
        <w:ind w:firstLineChars="200" w:firstLine="592"/>
        <w:jc w:val="both"/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</w:pPr>
      <w:r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项目</w:t>
      </w:r>
      <w:proofErr w:type="gramStart"/>
      <w:r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总设置</w:t>
      </w:r>
      <w:proofErr w:type="gramEnd"/>
      <w:r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床位数</w:t>
      </w:r>
      <w:r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1200</w:t>
      </w:r>
      <w:r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张，其中妇幼专科</w:t>
      </w:r>
      <w:r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1000</w:t>
      </w:r>
      <w:r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张，综合</w:t>
      </w:r>
      <w:r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200</w:t>
      </w:r>
      <w:r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张。</w:t>
      </w:r>
      <w:r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lastRenderedPageBreak/>
        <w:t>设置机动车停车位</w:t>
      </w:r>
      <w:r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2250</w:t>
      </w:r>
      <w:r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个，非机动车停车位</w:t>
      </w:r>
      <w:r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3000</w:t>
      </w:r>
      <w:r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个。</w:t>
      </w:r>
    </w:p>
    <w:p w:rsidR="005A4AB6" w:rsidRDefault="00B23E9C" w:rsidP="007A74BC">
      <w:pPr>
        <w:spacing w:line="560" w:lineRule="exact"/>
        <w:ind w:firstLineChars="200" w:firstLine="592"/>
        <w:jc w:val="both"/>
        <w:rPr>
          <w:rFonts w:ascii="方正楷体_GBK" w:eastAsia="方正楷体_GBK" w:hAnsi="方正楷体_GBK" w:cs="方正楷体_GBK"/>
          <w:spacing w:val="-4"/>
          <w:sz w:val="30"/>
          <w:szCs w:val="30"/>
          <w:lang w:eastAsia="zh-CN"/>
        </w:rPr>
      </w:pPr>
      <w:r>
        <w:rPr>
          <w:rFonts w:ascii="方正楷体_GBK" w:eastAsia="方正楷体_GBK" w:hAnsi="方正楷体_GBK" w:cs="方正楷体_GBK"/>
          <w:spacing w:val="-4"/>
          <w:sz w:val="30"/>
          <w:szCs w:val="30"/>
          <w:lang w:eastAsia="zh-CN"/>
        </w:rPr>
        <w:t>（二）绩效目标</w:t>
      </w:r>
    </w:p>
    <w:p w:rsidR="005A4AB6" w:rsidRDefault="00B23E9C" w:rsidP="007A74BC">
      <w:pPr>
        <w:spacing w:line="560" w:lineRule="exact"/>
        <w:ind w:firstLineChars="200" w:firstLine="600"/>
        <w:jc w:val="both"/>
        <w:rPr>
          <w:rFonts w:ascii="Times New Roman" w:eastAsia="方正仿宋_GBK" w:hAnsi="Times New Roman" w:cs="Times New Roman"/>
          <w:sz w:val="30"/>
          <w:szCs w:val="30"/>
          <w:lang w:eastAsia="zh-CN"/>
        </w:rPr>
      </w:pPr>
      <w:r>
        <w:rPr>
          <w:rFonts w:ascii="Times New Roman" w:eastAsia="方正仿宋_GBK" w:hAnsi="Times New Roman" w:cs="Times New Roman"/>
          <w:b/>
          <w:bCs/>
          <w:sz w:val="30"/>
          <w:szCs w:val="30"/>
          <w:lang w:eastAsia="zh-CN"/>
        </w:rPr>
        <w:t>项目总体目标：</w:t>
      </w:r>
      <w:r>
        <w:rPr>
          <w:rFonts w:ascii="Times New Roman" w:eastAsia="方正仿宋_GBK" w:hAnsi="Times New Roman" w:cs="Times New Roman"/>
          <w:sz w:val="30"/>
          <w:szCs w:val="30"/>
          <w:lang w:eastAsia="zh-CN"/>
        </w:rPr>
        <w:t>项目建成后，市妇幼实现两院并举，形成布局合理、功能齐全、设备精良的现代化妇幼保健院，缓解现有医疗检查需求、门诊就诊人次和住院病人增长与功能检查设备用房严重不足的矛盾，提升南京医疗首位度。</w:t>
      </w:r>
    </w:p>
    <w:p w:rsidR="00045765" w:rsidRDefault="00B23E9C" w:rsidP="00045765">
      <w:pPr>
        <w:adjustRightInd w:val="0"/>
        <w:spacing w:line="560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  <w:lang w:eastAsia="zh-CN"/>
        </w:rPr>
      </w:pPr>
      <w:r>
        <w:rPr>
          <w:rFonts w:ascii="Times New Roman" w:eastAsia="方正仿宋_GBK" w:hAnsi="Times New Roman" w:cs="Times New Roman"/>
          <w:b/>
          <w:bCs/>
          <w:sz w:val="30"/>
          <w:szCs w:val="30"/>
          <w:lang w:eastAsia="zh-CN"/>
        </w:rPr>
        <w:t>项目阶段性目标：</w:t>
      </w:r>
      <w:r w:rsidR="00045765" w:rsidRPr="00045765">
        <w:rPr>
          <w:rFonts w:ascii="Times New Roman" w:eastAsia="方正仿宋_GBK" w:hAnsi="Times New Roman" w:cs="Times New Roman" w:hint="eastAsia"/>
          <w:sz w:val="30"/>
          <w:szCs w:val="30"/>
          <w:lang w:eastAsia="zh-CN"/>
        </w:rPr>
        <w:t>按照项目申报内容、可行性研究报告及项目实施方案，完成债券资金支付进度要求，及时发挥专项债券资金使用效益。阶段性绩效目标主要内容见下表：</w:t>
      </w:r>
    </w:p>
    <w:p w:rsidR="004E4383" w:rsidRDefault="004E4383" w:rsidP="004E4383">
      <w:pPr>
        <w:keepNext/>
        <w:spacing w:line="560" w:lineRule="exact"/>
        <w:jc w:val="center"/>
        <w:rPr>
          <w:rFonts w:ascii="仿宋_GB2312" w:eastAsia="仿宋_GB2312" w:hAnsi="仿宋_GB2312" w:cs="仿宋_GB2312"/>
          <w:b/>
          <w:bCs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  <w:lang w:eastAsia="zh-CN"/>
        </w:rPr>
        <w:t>丁家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28"/>
          <w:szCs w:val="28"/>
          <w:lang w:eastAsia="zh-CN"/>
        </w:rPr>
        <w:t>庄院区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28"/>
          <w:szCs w:val="28"/>
          <w:lang w:eastAsia="zh-CN"/>
        </w:rPr>
        <w:t>建设项目阶段性绩效目标</w:t>
      </w:r>
    </w:p>
    <w:tbl>
      <w:tblPr>
        <w:tblStyle w:val="a6"/>
        <w:tblW w:w="5000" w:type="pct"/>
        <w:tblBorders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3167"/>
        <w:gridCol w:w="5029"/>
      </w:tblGrid>
      <w:tr w:rsidR="004E4383" w:rsidTr="003C3B0C">
        <w:trPr>
          <w:trHeight w:val="425"/>
          <w:tblHeader/>
        </w:trPr>
        <w:tc>
          <w:tcPr>
            <w:tcW w:w="479" w:type="pct"/>
            <w:vAlign w:val="center"/>
          </w:tcPr>
          <w:p w:rsidR="004E4383" w:rsidRPr="00AE2C5D" w:rsidRDefault="004E4383" w:rsidP="003C3B0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proofErr w:type="spellStart"/>
            <w:r w:rsidRPr="00AE2C5D">
              <w:rPr>
                <w:rFonts w:ascii="仿宋" w:eastAsia="仿宋" w:hAnsi="仿宋" w:cs="宋体" w:hint="eastAsia"/>
                <w:b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1747" w:type="pct"/>
            <w:vAlign w:val="center"/>
          </w:tcPr>
          <w:p w:rsidR="004E4383" w:rsidRPr="00AE2C5D" w:rsidRDefault="004E4383" w:rsidP="003C3B0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proofErr w:type="spellStart"/>
            <w:r w:rsidRPr="00AE2C5D">
              <w:rPr>
                <w:rFonts w:ascii="仿宋" w:eastAsia="仿宋" w:hAnsi="仿宋" w:hint="eastAsia"/>
                <w:b/>
                <w:sz w:val="24"/>
                <w:szCs w:val="24"/>
              </w:rPr>
              <w:t>目标</w:t>
            </w:r>
            <w:proofErr w:type="spellEnd"/>
          </w:p>
        </w:tc>
        <w:tc>
          <w:tcPr>
            <w:tcW w:w="2774" w:type="pct"/>
            <w:vAlign w:val="center"/>
          </w:tcPr>
          <w:p w:rsidR="004E4383" w:rsidRPr="00AE2C5D" w:rsidRDefault="004E4383" w:rsidP="003C3B0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proofErr w:type="spellStart"/>
            <w:r w:rsidRPr="00AE2C5D">
              <w:rPr>
                <w:rFonts w:ascii="仿宋" w:eastAsia="仿宋" w:hAnsi="仿宋" w:hint="eastAsia"/>
                <w:b/>
                <w:sz w:val="24"/>
                <w:szCs w:val="24"/>
              </w:rPr>
              <w:t>说明</w:t>
            </w:r>
            <w:proofErr w:type="spellEnd"/>
          </w:p>
        </w:tc>
      </w:tr>
      <w:tr w:rsidR="004E4383" w:rsidTr="003C3B0C">
        <w:trPr>
          <w:trHeight w:val="425"/>
        </w:trPr>
        <w:tc>
          <w:tcPr>
            <w:tcW w:w="479" w:type="pct"/>
            <w:vAlign w:val="center"/>
          </w:tcPr>
          <w:p w:rsidR="004E4383" w:rsidRPr="00AE2C5D" w:rsidRDefault="004E4383" w:rsidP="003C3B0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</w:p>
        </w:tc>
        <w:tc>
          <w:tcPr>
            <w:tcW w:w="1747" w:type="pct"/>
            <w:vAlign w:val="center"/>
          </w:tcPr>
          <w:p w:rsidR="004E4383" w:rsidRPr="00AE2C5D" w:rsidRDefault="004E4383" w:rsidP="003C3B0C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AE2C5D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专项债券项目评估充分性</w:t>
            </w:r>
          </w:p>
        </w:tc>
        <w:tc>
          <w:tcPr>
            <w:tcW w:w="2774" w:type="pct"/>
            <w:vAlign w:val="center"/>
          </w:tcPr>
          <w:p w:rsidR="004E4383" w:rsidRPr="00AE2C5D" w:rsidRDefault="004E4383" w:rsidP="003C3B0C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AE2C5D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评价专项债券项目是否经过充分的合</w:t>
            </w:r>
            <w:proofErr w:type="gramStart"/>
            <w:r w:rsidRPr="00AE2C5D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规</w:t>
            </w:r>
            <w:proofErr w:type="gramEnd"/>
            <w:r w:rsidRPr="00AE2C5D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性审核、风险控制、对发债项目的评估等。</w:t>
            </w:r>
          </w:p>
        </w:tc>
      </w:tr>
      <w:tr w:rsidR="004E4383" w:rsidTr="003C3B0C">
        <w:trPr>
          <w:trHeight w:val="425"/>
        </w:trPr>
        <w:tc>
          <w:tcPr>
            <w:tcW w:w="479" w:type="pct"/>
            <w:vAlign w:val="center"/>
          </w:tcPr>
          <w:p w:rsidR="004E4383" w:rsidRPr="00AE2C5D" w:rsidRDefault="004E4383" w:rsidP="003C3B0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</w:p>
        </w:tc>
        <w:tc>
          <w:tcPr>
            <w:tcW w:w="1747" w:type="pct"/>
            <w:vAlign w:val="center"/>
          </w:tcPr>
          <w:p w:rsidR="004E4383" w:rsidRPr="00AE2C5D" w:rsidRDefault="004E4383" w:rsidP="003C3B0C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AE2C5D">
              <w:rPr>
                <w:rFonts w:ascii="仿宋" w:eastAsia="仿宋" w:hAnsi="仿宋" w:hint="eastAsia"/>
                <w:sz w:val="24"/>
                <w:szCs w:val="24"/>
              </w:rPr>
              <w:t>债券资金到位率</w:t>
            </w:r>
          </w:p>
        </w:tc>
        <w:tc>
          <w:tcPr>
            <w:tcW w:w="2774" w:type="pct"/>
            <w:vAlign w:val="center"/>
          </w:tcPr>
          <w:p w:rsidR="004E4383" w:rsidRPr="00AE2C5D" w:rsidRDefault="004E4383" w:rsidP="003C3B0C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AE2C5D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考察专项</w:t>
            </w:r>
            <w:proofErr w:type="gramStart"/>
            <w:r w:rsidRPr="00AE2C5D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债资金</w:t>
            </w:r>
            <w:proofErr w:type="gramEnd"/>
            <w:r w:rsidRPr="00AE2C5D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到位情况，实际到位资金与计划投入资金的比率。</w:t>
            </w:r>
          </w:p>
        </w:tc>
      </w:tr>
      <w:tr w:rsidR="004E4383" w:rsidTr="003C3B0C">
        <w:trPr>
          <w:trHeight w:val="425"/>
        </w:trPr>
        <w:tc>
          <w:tcPr>
            <w:tcW w:w="479" w:type="pct"/>
            <w:vAlign w:val="center"/>
          </w:tcPr>
          <w:p w:rsidR="004E4383" w:rsidRDefault="004E4383" w:rsidP="003C3B0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3</w:t>
            </w:r>
          </w:p>
        </w:tc>
        <w:tc>
          <w:tcPr>
            <w:tcW w:w="1747" w:type="pct"/>
            <w:vAlign w:val="center"/>
          </w:tcPr>
          <w:p w:rsidR="004E4383" w:rsidRPr="00AE2C5D" w:rsidRDefault="004E4383" w:rsidP="003C3B0C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112C26">
              <w:rPr>
                <w:rFonts w:ascii="仿宋" w:eastAsia="仿宋" w:hAnsi="仿宋" w:hint="eastAsia"/>
                <w:sz w:val="24"/>
                <w:szCs w:val="24"/>
              </w:rPr>
              <w:t>资金使用合规性</w:t>
            </w:r>
          </w:p>
        </w:tc>
        <w:tc>
          <w:tcPr>
            <w:tcW w:w="2774" w:type="pct"/>
            <w:vAlign w:val="center"/>
          </w:tcPr>
          <w:p w:rsidR="004E4383" w:rsidRPr="00112C26" w:rsidRDefault="004E4383" w:rsidP="003C3B0C">
            <w:pPr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根据</w:t>
            </w:r>
            <w:r w:rsidRPr="00112C26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相关法律、法规及财务管理制度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进行合理性评价。</w:t>
            </w:r>
          </w:p>
        </w:tc>
      </w:tr>
      <w:tr w:rsidR="004E4383" w:rsidTr="003C3B0C">
        <w:trPr>
          <w:trHeight w:val="425"/>
        </w:trPr>
        <w:tc>
          <w:tcPr>
            <w:tcW w:w="479" w:type="pct"/>
            <w:vAlign w:val="center"/>
          </w:tcPr>
          <w:p w:rsidR="004E4383" w:rsidRPr="00AE2C5D" w:rsidRDefault="004E4383" w:rsidP="003C3B0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4</w:t>
            </w:r>
          </w:p>
        </w:tc>
        <w:tc>
          <w:tcPr>
            <w:tcW w:w="1747" w:type="pct"/>
            <w:vAlign w:val="center"/>
          </w:tcPr>
          <w:p w:rsidR="004E4383" w:rsidRPr="00AE2C5D" w:rsidRDefault="004E4383" w:rsidP="003C3B0C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AE2C5D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债务资金支出进度与项目进度匹配程度</w:t>
            </w:r>
          </w:p>
        </w:tc>
        <w:tc>
          <w:tcPr>
            <w:tcW w:w="2774" w:type="pct"/>
            <w:vAlign w:val="center"/>
          </w:tcPr>
          <w:p w:rsidR="004E4383" w:rsidRPr="00AE2C5D" w:rsidRDefault="004E4383" w:rsidP="003C3B0C">
            <w:pPr>
              <w:tabs>
                <w:tab w:val="left" w:pos="1275"/>
              </w:tabs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AE2C5D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考察债务资金使用效率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。</w:t>
            </w:r>
          </w:p>
        </w:tc>
      </w:tr>
      <w:tr w:rsidR="004E4383" w:rsidTr="003C3B0C">
        <w:trPr>
          <w:trHeight w:val="425"/>
        </w:trPr>
        <w:tc>
          <w:tcPr>
            <w:tcW w:w="479" w:type="pct"/>
            <w:vAlign w:val="center"/>
          </w:tcPr>
          <w:p w:rsidR="004E4383" w:rsidRPr="00AE2C5D" w:rsidRDefault="004E4383" w:rsidP="003C3B0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5</w:t>
            </w:r>
          </w:p>
        </w:tc>
        <w:tc>
          <w:tcPr>
            <w:tcW w:w="1747" w:type="pct"/>
            <w:vAlign w:val="center"/>
          </w:tcPr>
          <w:p w:rsidR="004E4383" w:rsidRPr="00AE2C5D" w:rsidRDefault="004E4383" w:rsidP="003C3B0C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AE2C5D">
              <w:rPr>
                <w:rFonts w:ascii="仿宋" w:eastAsia="仿宋" w:hAnsi="仿宋" w:hint="eastAsia"/>
                <w:sz w:val="24"/>
                <w:szCs w:val="24"/>
              </w:rPr>
              <w:t>项目完成进度</w:t>
            </w:r>
          </w:p>
        </w:tc>
        <w:tc>
          <w:tcPr>
            <w:tcW w:w="2774" w:type="pct"/>
            <w:vAlign w:val="center"/>
          </w:tcPr>
          <w:p w:rsidR="004E4383" w:rsidRPr="00AE2C5D" w:rsidRDefault="004E4383" w:rsidP="003C3B0C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AE2C5D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考察项目完成进度，包括主体工程建设等工作完成进度。</w:t>
            </w:r>
          </w:p>
        </w:tc>
      </w:tr>
      <w:tr w:rsidR="004E4383" w:rsidTr="003C3B0C">
        <w:trPr>
          <w:trHeight w:val="425"/>
        </w:trPr>
        <w:tc>
          <w:tcPr>
            <w:tcW w:w="479" w:type="pct"/>
            <w:vAlign w:val="center"/>
          </w:tcPr>
          <w:p w:rsidR="004E4383" w:rsidRPr="00AE2C5D" w:rsidRDefault="004E4383" w:rsidP="003C3B0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6</w:t>
            </w:r>
          </w:p>
        </w:tc>
        <w:tc>
          <w:tcPr>
            <w:tcW w:w="1747" w:type="pct"/>
            <w:vAlign w:val="center"/>
          </w:tcPr>
          <w:p w:rsidR="004E4383" w:rsidRPr="00AE2C5D" w:rsidRDefault="004E4383" w:rsidP="003C3B0C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112C26">
              <w:rPr>
                <w:rFonts w:ascii="仿宋" w:eastAsia="仿宋" w:hAnsi="仿宋" w:hint="eastAsia"/>
                <w:sz w:val="24"/>
                <w:szCs w:val="24"/>
              </w:rPr>
              <w:t>管理制度健全性</w:t>
            </w:r>
          </w:p>
        </w:tc>
        <w:tc>
          <w:tcPr>
            <w:tcW w:w="2774" w:type="pct"/>
            <w:vAlign w:val="center"/>
          </w:tcPr>
          <w:p w:rsidR="004E4383" w:rsidRPr="00112C26" w:rsidRDefault="004E4383" w:rsidP="003C3B0C">
            <w:pPr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112C26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合理、健全的财务管理制度</w:t>
            </w:r>
          </w:p>
        </w:tc>
      </w:tr>
    </w:tbl>
    <w:p w:rsidR="005A4AB6" w:rsidRDefault="00B23E9C">
      <w:pPr>
        <w:spacing w:line="560" w:lineRule="exact"/>
        <w:ind w:firstLineChars="200" w:firstLine="600"/>
        <w:jc w:val="both"/>
        <w:rPr>
          <w:rFonts w:ascii="Times New Roman" w:eastAsia="黑体" w:hAnsi="Times New Roman" w:cs="Times New Roman"/>
          <w:sz w:val="30"/>
          <w:szCs w:val="30"/>
          <w:lang w:eastAsia="zh-CN"/>
        </w:rPr>
      </w:pPr>
      <w:r>
        <w:rPr>
          <w:rFonts w:ascii="Times New Roman" w:eastAsia="黑体" w:hAnsi="Times New Roman" w:cs="Times New Roman"/>
          <w:sz w:val="30"/>
          <w:szCs w:val="30"/>
          <w:lang w:eastAsia="zh-CN"/>
        </w:rPr>
        <w:t>二、评价情况</w:t>
      </w:r>
    </w:p>
    <w:p w:rsidR="005A4AB6" w:rsidRDefault="00B23E9C" w:rsidP="007A74BC">
      <w:pPr>
        <w:spacing w:line="560" w:lineRule="exact"/>
        <w:ind w:firstLineChars="200" w:firstLine="592"/>
        <w:jc w:val="both"/>
        <w:rPr>
          <w:rFonts w:ascii="方正楷体_GBK" w:eastAsia="方正楷体_GBK" w:hAnsi="方正楷体_GBK" w:cs="方正楷体_GBK"/>
          <w:spacing w:val="-4"/>
          <w:sz w:val="30"/>
          <w:szCs w:val="30"/>
          <w:lang w:eastAsia="zh-CN"/>
        </w:rPr>
      </w:pPr>
      <w:r>
        <w:rPr>
          <w:rFonts w:ascii="方正楷体_GBK" w:eastAsia="方正楷体_GBK" w:hAnsi="方正楷体_GBK" w:cs="方正楷体_GBK"/>
          <w:spacing w:val="-4"/>
          <w:sz w:val="30"/>
          <w:szCs w:val="30"/>
          <w:lang w:eastAsia="zh-CN"/>
        </w:rPr>
        <w:t>（一）项目特点分析</w:t>
      </w:r>
    </w:p>
    <w:p w:rsidR="008C0B41" w:rsidRPr="008C0B41" w:rsidRDefault="008C0B41" w:rsidP="008C0B41">
      <w:pPr>
        <w:spacing w:line="560" w:lineRule="exact"/>
        <w:ind w:firstLineChars="200" w:firstLine="592"/>
        <w:jc w:val="both"/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</w:pPr>
      <w:r w:rsidRPr="008C0B41">
        <w:rPr>
          <w:rFonts w:ascii="Times New Roman" w:eastAsia="方正仿宋_GBK" w:hAnsi="Times New Roman" w:cs="Times New Roman" w:hint="eastAsia"/>
          <w:spacing w:val="-4"/>
          <w:sz w:val="30"/>
          <w:szCs w:val="30"/>
          <w:lang w:eastAsia="zh-CN"/>
        </w:rPr>
        <w:t>专项债券项目绩效管理既要遵循一般项目绩效管理的基本原则，又要立足项目特点，本次评价重点关注以下几个方面：</w:t>
      </w:r>
    </w:p>
    <w:p w:rsidR="00EA442A" w:rsidRDefault="008C0B41" w:rsidP="008C0B41">
      <w:pPr>
        <w:spacing w:line="560" w:lineRule="exact"/>
        <w:ind w:firstLineChars="200" w:firstLine="592"/>
        <w:jc w:val="both"/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</w:pPr>
      <w:r w:rsidRPr="008C0B41"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1.</w:t>
      </w:r>
      <w:r w:rsidRPr="008C0B41"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偿债能力。确保专项债券项目具有稳定可靠的项目收益，保证</w:t>
      </w:r>
      <w:r w:rsidRPr="008C0B41"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lastRenderedPageBreak/>
        <w:t>偿债来源的真实有效。</w:t>
      </w:r>
      <w:r w:rsidRPr="008C0B41">
        <w:rPr>
          <w:rFonts w:ascii="Times New Roman" w:eastAsia="方正仿宋_GBK" w:hAnsi="Times New Roman" w:cs="Times New Roman" w:hint="eastAsia"/>
          <w:spacing w:val="-4"/>
          <w:sz w:val="30"/>
          <w:szCs w:val="30"/>
          <w:lang w:eastAsia="zh-CN"/>
        </w:rPr>
        <w:t>丁家</w:t>
      </w:r>
      <w:proofErr w:type="gramStart"/>
      <w:r w:rsidRPr="008C0B41">
        <w:rPr>
          <w:rFonts w:ascii="Times New Roman" w:eastAsia="方正仿宋_GBK" w:hAnsi="Times New Roman" w:cs="Times New Roman" w:hint="eastAsia"/>
          <w:spacing w:val="-4"/>
          <w:sz w:val="30"/>
          <w:szCs w:val="30"/>
          <w:lang w:eastAsia="zh-CN"/>
        </w:rPr>
        <w:t>庄院区</w:t>
      </w:r>
      <w:proofErr w:type="gramEnd"/>
      <w:r w:rsidRPr="008C0B41">
        <w:rPr>
          <w:rFonts w:ascii="Times New Roman" w:eastAsia="方正仿宋_GBK" w:hAnsi="Times New Roman" w:cs="Times New Roman" w:hint="eastAsia"/>
          <w:spacing w:val="-4"/>
          <w:sz w:val="30"/>
          <w:szCs w:val="30"/>
          <w:lang w:eastAsia="zh-CN"/>
        </w:rPr>
        <w:t>建设项目专项债</w:t>
      </w:r>
      <w:r w:rsidRPr="008C0B41"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是地方政府为了</w:t>
      </w:r>
      <w:r w:rsidRPr="008C0B41">
        <w:rPr>
          <w:rFonts w:ascii="Times New Roman" w:eastAsia="方正仿宋_GBK" w:hAnsi="Times New Roman" w:cs="Times New Roman" w:hint="eastAsia"/>
          <w:spacing w:val="-4"/>
          <w:sz w:val="30"/>
          <w:szCs w:val="30"/>
          <w:lang w:eastAsia="zh-CN"/>
        </w:rPr>
        <w:t>优化医疗资源布局、提升城市医疗服务首位度，</w:t>
      </w:r>
      <w:r w:rsidRPr="008C0B41"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以项目对应纳入政府性基金预算管理的地方政府专项债券。</w:t>
      </w:r>
    </w:p>
    <w:p w:rsidR="008C0B41" w:rsidRPr="008C0B41" w:rsidRDefault="008C0B41" w:rsidP="008C0B41">
      <w:pPr>
        <w:spacing w:line="560" w:lineRule="exact"/>
        <w:ind w:firstLineChars="200" w:firstLine="592"/>
        <w:jc w:val="both"/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</w:pPr>
      <w:r w:rsidRPr="008C0B41"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2.</w:t>
      </w:r>
      <w:r w:rsidR="00EA442A"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发债规模、期限与项目收益的平衡。专项债券发行</w:t>
      </w:r>
      <w:r w:rsidRPr="008C0B41"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实行</w:t>
      </w:r>
      <w:r w:rsidRPr="008C0B41">
        <w:rPr>
          <w:rFonts w:ascii="Times New Roman" w:eastAsia="方正仿宋_GBK" w:hAnsi="Times New Roman" w:cs="Times New Roman" w:hint="eastAsia"/>
          <w:spacing w:val="-4"/>
          <w:sz w:val="30"/>
          <w:szCs w:val="30"/>
          <w:lang w:eastAsia="zh-CN"/>
        </w:rPr>
        <w:t>“</w:t>
      </w:r>
      <w:r w:rsidRPr="008C0B41"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封闭式</w:t>
      </w:r>
      <w:r w:rsidRPr="008C0B41">
        <w:rPr>
          <w:rFonts w:ascii="Times New Roman" w:eastAsia="方正仿宋_GBK" w:hAnsi="Times New Roman" w:cs="Times New Roman" w:hint="eastAsia"/>
          <w:spacing w:val="-4"/>
          <w:sz w:val="30"/>
          <w:szCs w:val="30"/>
          <w:lang w:eastAsia="zh-CN"/>
        </w:rPr>
        <w:t>”</w:t>
      </w:r>
      <w:r w:rsidRPr="008C0B41"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运行管理，注重债券与项目的匹配度，包括期限、利率、项目现金流、还本的可能等。从发债规模上看，应关注融资规模与项目全生命周期预期收益的匹配，降低资金混同风险。从期限上看，应关注专项债券期限与项目期限相匹配，防范期限错配风险。</w:t>
      </w:r>
    </w:p>
    <w:p w:rsidR="008C0B41" w:rsidRPr="008C0B41" w:rsidRDefault="008C0B41" w:rsidP="008C0B41">
      <w:pPr>
        <w:spacing w:line="560" w:lineRule="exact"/>
        <w:ind w:firstLineChars="200" w:firstLine="592"/>
        <w:jc w:val="both"/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</w:pPr>
      <w:r w:rsidRPr="008C0B41"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3.</w:t>
      </w:r>
      <w:r w:rsidRPr="008C0B41"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举债成本。专项债券资金使用具有有偿性，不同于一般的财政资金，涉及债务资金的发行、交易、偿还、监管等全过程，更需要关注举债的成本和融资必要性。例如，由于项目进展缓慢，造成债券资金闲置、利息成本相对上升。</w:t>
      </w:r>
    </w:p>
    <w:p w:rsidR="005A4AB6" w:rsidRDefault="00B23E9C" w:rsidP="007A74BC">
      <w:pPr>
        <w:spacing w:line="560" w:lineRule="exact"/>
        <w:ind w:firstLineChars="200" w:firstLine="592"/>
        <w:jc w:val="both"/>
        <w:rPr>
          <w:rFonts w:ascii="方正楷体_GBK" w:eastAsia="方正楷体_GBK" w:hAnsi="方正楷体_GBK" w:cs="方正楷体_GBK"/>
          <w:spacing w:val="-4"/>
          <w:sz w:val="30"/>
          <w:szCs w:val="30"/>
          <w:lang w:eastAsia="zh-CN"/>
        </w:rPr>
      </w:pPr>
      <w:r>
        <w:rPr>
          <w:rFonts w:ascii="方正楷体_GBK" w:eastAsia="方正楷体_GBK" w:hAnsi="方正楷体_GBK" w:cs="方正楷体_GBK"/>
          <w:spacing w:val="-4"/>
          <w:sz w:val="30"/>
          <w:szCs w:val="30"/>
          <w:lang w:eastAsia="zh-CN"/>
        </w:rPr>
        <w:t>（二）评价思路方法</w:t>
      </w:r>
    </w:p>
    <w:p w:rsidR="00532AA7" w:rsidRPr="00532AA7" w:rsidRDefault="00532AA7" w:rsidP="00532AA7">
      <w:pPr>
        <w:spacing w:line="560" w:lineRule="exact"/>
        <w:ind w:firstLineChars="200" w:firstLine="592"/>
        <w:jc w:val="both"/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</w:pPr>
      <w:r w:rsidRPr="00532AA7">
        <w:rPr>
          <w:rFonts w:ascii="Times New Roman" w:eastAsia="方正仿宋_GBK" w:hAnsi="Times New Roman" w:cs="Times New Roman" w:hint="eastAsia"/>
          <w:spacing w:val="-4"/>
          <w:sz w:val="30"/>
          <w:szCs w:val="30"/>
          <w:lang w:eastAsia="zh-CN"/>
        </w:rPr>
        <w:t>1.</w:t>
      </w:r>
      <w:r w:rsidRPr="00532AA7">
        <w:rPr>
          <w:rFonts w:ascii="Times New Roman" w:eastAsia="方正仿宋_GBK" w:hAnsi="Times New Roman" w:cs="Times New Roman" w:hint="eastAsia"/>
          <w:spacing w:val="-4"/>
          <w:sz w:val="30"/>
          <w:szCs w:val="30"/>
          <w:lang w:eastAsia="zh-CN"/>
        </w:rPr>
        <w:t>评价思路</w:t>
      </w:r>
    </w:p>
    <w:p w:rsidR="00532AA7" w:rsidRPr="00532AA7" w:rsidRDefault="00532AA7" w:rsidP="00532AA7">
      <w:pPr>
        <w:spacing w:line="560" w:lineRule="exact"/>
        <w:ind w:firstLineChars="200" w:firstLine="592"/>
        <w:jc w:val="both"/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</w:pPr>
      <w:r w:rsidRPr="00532AA7">
        <w:rPr>
          <w:rFonts w:ascii="Times New Roman" w:eastAsia="方正仿宋_GBK" w:hAnsi="Times New Roman" w:cs="Times New Roman" w:hint="eastAsia"/>
          <w:spacing w:val="-4"/>
          <w:sz w:val="30"/>
          <w:szCs w:val="30"/>
          <w:lang w:eastAsia="zh-CN"/>
        </w:rPr>
        <w:t>与一般预算支出项目的绩效评价不同，对专项债券资金项目需要立足项目的全生命周期进行绩效评价，因此，指标设计将按照专项债券项目全生命周期分阶段设置进行评价。</w:t>
      </w:r>
    </w:p>
    <w:p w:rsidR="00532AA7" w:rsidRPr="00532AA7" w:rsidRDefault="00532AA7" w:rsidP="00532AA7">
      <w:pPr>
        <w:spacing w:line="560" w:lineRule="exact"/>
        <w:ind w:firstLineChars="200" w:firstLine="592"/>
        <w:jc w:val="both"/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</w:pPr>
      <w:r w:rsidRPr="00532AA7"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（</w:t>
      </w:r>
      <w:r w:rsidRPr="00532AA7">
        <w:rPr>
          <w:rFonts w:ascii="Times New Roman" w:eastAsia="方正仿宋_GBK" w:hAnsi="Times New Roman" w:cs="Times New Roman" w:hint="eastAsia"/>
          <w:spacing w:val="-4"/>
          <w:sz w:val="30"/>
          <w:szCs w:val="30"/>
          <w:lang w:eastAsia="zh-CN"/>
        </w:rPr>
        <w:t>1</w:t>
      </w:r>
      <w:r w:rsidRPr="00532AA7"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）关注决策立项情况。通过设立立项依据充分性、立项程序规范性、绩效目标合理性、绩效指标明确性以及额度申报科学性指标，考察项目立项依据充分性，以及目标设定、资金落实及额度申报科学性等事项。</w:t>
      </w:r>
    </w:p>
    <w:p w:rsidR="00532AA7" w:rsidRPr="00532AA7" w:rsidRDefault="00532AA7" w:rsidP="00532AA7">
      <w:pPr>
        <w:spacing w:line="560" w:lineRule="exact"/>
        <w:ind w:firstLineChars="200" w:firstLine="592"/>
        <w:jc w:val="both"/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</w:pPr>
      <w:r w:rsidRPr="00532AA7"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（</w:t>
      </w:r>
      <w:r w:rsidRPr="00532AA7">
        <w:rPr>
          <w:rFonts w:ascii="Times New Roman" w:eastAsia="方正仿宋_GBK" w:hAnsi="Times New Roman" w:cs="Times New Roman" w:hint="eastAsia"/>
          <w:spacing w:val="-4"/>
          <w:sz w:val="30"/>
          <w:szCs w:val="30"/>
          <w:lang w:eastAsia="zh-CN"/>
        </w:rPr>
        <w:t>2</w:t>
      </w:r>
      <w:r w:rsidRPr="00532AA7"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）关注组织管理情况。一是通过设置资金到位率、预算执行</w:t>
      </w:r>
      <w:r w:rsidRPr="00532AA7"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lastRenderedPageBreak/>
        <w:t>率、资金使用合</w:t>
      </w:r>
      <w:proofErr w:type="gramStart"/>
      <w:r w:rsidRPr="00532AA7"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规</w:t>
      </w:r>
      <w:proofErr w:type="gramEnd"/>
      <w:r w:rsidRPr="00532AA7"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性以及债券偿债执行率指标，关注债券利息偿还计划执行情况、债券资金按规定用途使用情况、资金拨付和支出进度与项目建设进度匹配情况等。二是通过设置管理制度健全性、制度执行有效性、政府采购规范度、合同执行规范性以及项目监管及落实整改情况指标，关注项目单位制度建立及执行情况，政府采购制度执行情况，项目监管及整改情况等。</w:t>
      </w:r>
    </w:p>
    <w:p w:rsidR="00532AA7" w:rsidRPr="00532AA7" w:rsidRDefault="00532AA7" w:rsidP="00532AA7">
      <w:pPr>
        <w:spacing w:line="560" w:lineRule="exact"/>
        <w:ind w:firstLineChars="200" w:firstLine="592"/>
        <w:jc w:val="both"/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</w:pPr>
      <w:r w:rsidRPr="00532AA7"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（</w:t>
      </w:r>
      <w:r w:rsidRPr="00532AA7">
        <w:rPr>
          <w:rFonts w:ascii="Times New Roman" w:eastAsia="方正仿宋_GBK" w:hAnsi="Times New Roman" w:cs="Times New Roman" w:hint="eastAsia"/>
          <w:spacing w:val="-4"/>
          <w:sz w:val="30"/>
          <w:szCs w:val="30"/>
          <w:lang w:eastAsia="zh-CN"/>
        </w:rPr>
        <w:t>3</w:t>
      </w:r>
      <w:r w:rsidRPr="00532AA7"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）关注产出情况。通过设置项目内容执行情况、工程设计主要标准执行情况、信息披露规范性以及项目完成进度等指标，重点关注项目建设进度、建设质量是否与计划</w:t>
      </w:r>
      <w:r w:rsidRPr="00532AA7">
        <w:rPr>
          <w:rFonts w:ascii="Times New Roman" w:eastAsia="方正仿宋_GBK" w:hAnsi="Times New Roman" w:cs="Times New Roman" w:hint="eastAsia"/>
          <w:spacing w:val="-4"/>
          <w:sz w:val="30"/>
          <w:szCs w:val="30"/>
          <w:lang w:eastAsia="zh-CN"/>
        </w:rPr>
        <w:t>一致</w:t>
      </w:r>
      <w:r w:rsidRPr="00532AA7"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，是否按照《关于进一步做好地方政府债券发行工作的意见》（财库〔</w:t>
      </w:r>
      <w:r w:rsidRPr="00532AA7"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2020</w:t>
      </w:r>
      <w:r w:rsidRPr="00532AA7"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〕</w:t>
      </w:r>
      <w:r w:rsidRPr="00532AA7"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36</w:t>
      </w:r>
      <w:r w:rsidRPr="00532AA7"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号）等文件要求及时披露相关信息。</w:t>
      </w:r>
    </w:p>
    <w:p w:rsidR="00532AA7" w:rsidRPr="00532AA7" w:rsidRDefault="00532AA7" w:rsidP="00532AA7">
      <w:pPr>
        <w:spacing w:line="560" w:lineRule="exact"/>
        <w:ind w:firstLineChars="200" w:firstLine="592"/>
        <w:jc w:val="both"/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</w:pPr>
      <w:r w:rsidRPr="00532AA7"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（</w:t>
      </w:r>
      <w:r w:rsidRPr="00532AA7">
        <w:rPr>
          <w:rFonts w:ascii="Times New Roman" w:eastAsia="方正仿宋_GBK" w:hAnsi="Times New Roman" w:cs="Times New Roman" w:hint="eastAsia"/>
          <w:spacing w:val="-4"/>
          <w:sz w:val="30"/>
          <w:szCs w:val="30"/>
          <w:lang w:eastAsia="zh-CN"/>
        </w:rPr>
        <w:t>4</w:t>
      </w:r>
      <w:r w:rsidRPr="00532AA7"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）关注项目效益情况。通过设置绿色建筑应用、</w:t>
      </w:r>
      <w:proofErr w:type="gramStart"/>
      <w:r w:rsidR="00B655AD" w:rsidRPr="00B655AD">
        <w:rPr>
          <w:rFonts w:ascii="Times New Roman" w:eastAsia="方正仿宋_GBK" w:hAnsi="Times New Roman" w:cs="Times New Roman" w:hint="eastAsia"/>
          <w:spacing w:val="-4"/>
          <w:sz w:val="30"/>
          <w:szCs w:val="30"/>
          <w:lang w:eastAsia="zh-CN"/>
        </w:rPr>
        <w:t>年支付</w:t>
      </w:r>
      <w:proofErr w:type="gramEnd"/>
      <w:r w:rsidR="00B655AD" w:rsidRPr="00B655AD">
        <w:rPr>
          <w:rFonts w:ascii="Times New Roman" w:eastAsia="方正仿宋_GBK" w:hAnsi="Times New Roman" w:cs="Times New Roman" w:hint="eastAsia"/>
          <w:spacing w:val="-4"/>
          <w:sz w:val="30"/>
          <w:szCs w:val="30"/>
          <w:lang w:eastAsia="zh-CN"/>
        </w:rPr>
        <w:t>利息低于社会融资</w:t>
      </w:r>
      <w:r w:rsidR="00B655AD">
        <w:rPr>
          <w:rFonts w:ascii="Times New Roman" w:eastAsia="方正仿宋_GBK" w:hAnsi="Times New Roman" w:cs="Times New Roman" w:hint="eastAsia"/>
          <w:spacing w:val="-4"/>
          <w:sz w:val="30"/>
          <w:szCs w:val="30"/>
          <w:lang w:eastAsia="zh-CN"/>
        </w:rPr>
        <w:t>、</w:t>
      </w:r>
      <w:r w:rsidR="00B655AD" w:rsidRPr="00B655AD">
        <w:rPr>
          <w:rFonts w:ascii="Times New Roman" w:eastAsia="方正仿宋_GBK" w:hAnsi="Times New Roman" w:cs="Times New Roman" w:hint="eastAsia"/>
          <w:spacing w:val="-4"/>
          <w:sz w:val="30"/>
          <w:szCs w:val="30"/>
          <w:lang w:eastAsia="zh-CN"/>
        </w:rPr>
        <w:t>促进社会和谐发展</w:t>
      </w:r>
      <w:r w:rsidR="00B655AD">
        <w:rPr>
          <w:rFonts w:ascii="Times New Roman" w:eastAsia="方正仿宋_GBK" w:hAnsi="Times New Roman" w:cs="Times New Roman" w:hint="eastAsia"/>
          <w:spacing w:val="-4"/>
          <w:sz w:val="30"/>
          <w:szCs w:val="30"/>
          <w:lang w:eastAsia="zh-CN"/>
        </w:rPr>
        <w:t>、</w:t>
      </w:r>
      <w:r w:rsidR="00B655AD" w:rsidRPr="00B655AD">
        <w:rPr>
          <w:rFonts w:ascii="Times New Roman" w:eastAsia="方正仿宋_GBK" w:hAnsi="Times New Roman" w:cs="Times New Roman" w:hint="eastAsia"/>
          <w:spacing w:val="-4"/>
          <w:sz w:val="30"/>
          <w:szCs w:val="30"/>
          <w:lang w:eastAsia="zh-CN"/>
        </w:rPr>
        <w:t>促进国家省市妇幼健康持续发展的需求</w:t>
      </w:r>
      <w:r w:rsidR="00B655AD">
        <w:rPr>
          <w:rFonts w:ascii="Times New Roman" w:eastAsia="方正仿宋_GBK" w:hAnsi="Times New Roman" w:cs="Times New Roman" w:hint="eastAsia"/>
          <w:spacing w:val="-4"/>
          <w:sz w:val="30"/>
          <w:szCs w:val="30"/>
          <w:lang w:eastAsia="zh-CN"/>
        </w:rPr>
        <w:t>等</w:t>
      </w:r>
      <w:r w:rsidRPr="00532AA7"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指标，重点关注项目绿色建筑、</w:t>
      </w:r>
      <w:r w:rsidR="00B655AD" w:rsidRPr="00B655AD">
        <w:rPr>
          <w:rFonts w:ascii="Times New Roman" w:eastAsia="方正仿宋_GBK" w:hAnsi="Times New Roman" w:cs="Times New Roman" w:hint="eastAsia"/>
          <w:spacing w:val="-4"/>
          <w:sz w:val="30"/>
          <w:szCs w:val="30"/>
          <w:lang w:eastAsia="zh-CN"/>
        </w:rPr>
        <w:t>促进社会和谐发展</w:t>
      </w:r>
      <w:r w:rsidR="00B655AD">
        <w:rPr>
          <w:rFonts w:ascii="Times New Roman" w:eastAsia="方正仿宋_GBK" w:hAnsi="Times New Roman" w:cs="Times New Roman" w:hint="eastAsia"/>
          <w:spacing w:val="-4"/>
          <w:sz w:val="30"/>
          <w:szCs w:val="30"/>
          <w:lang w:eastAsia="zh-CN"/>
        </w:rPr>
        <w:t>等</w:t>
      </w:r>
      <w:r w:rsidRPr="00532AA7"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应用情况。</w:t>
      </w:r>
    </w:p>
    <w:p w:rsidR="00532AA7" w:rsidRPr="00532AA7" w:rsidRDefault="00532AA7" w:rsidP="00532AA7">
      <w:pPr>
        <w:spacing w:line="560" w:lineRule="exact"/>
        <w:ind w:firstLineChars="200" w:firstLine="592"/>
        <w:jc w:val="both"/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</w:pPr>
      <w:bookmarkStart w:id="0" w:name="_Toc103247308"/>
      <w:r w:rsidRPr="00532AA7">
        <w:rPr>
          <w:rFonts w:ascii="Times New Roman" w:eastAsia="方正仿宋_GBK" w:hAnsi="Times New Roman" w:cs="Times New Roman" w:hint="eastAsia"/>
          <w:spacing w:val="-4"/>
          <w:sz w:val="30"/>
          <w:szCs w:val="30"/>
          <w:lang w:eastAsia="zh-CN"/>
        </w:rPr>
        <w:t>2</w:t>
      </w:r>
      <w:r w:rsidRPr="00532AA7"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.</w:t>
      </w:r>
      <w:r w:rsidRPr="00532AA7"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评价原则和方法</w:t>
      </w:r>
      <w:bookmarkEnd w:id="0"/>
    </w:p>
    <w:p w:rsidR="00532AA7" w:rsidRPr="00532AA7" w:rsidRDefault="00532AA7" w:rsidP="00532AA7">
      <w:pPr>
        <w:spacing w:line="560" w:lineRule="exact"/>
        <w:ind w:firstLineChars="200" w:firstLine="592"/>
        <w:jc w:val="both"/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</w:pPr>
      <w:r w:rsidRPr="00532AA7">
        <w:rPr>
          <w:rFonts w:ascii="Times New Roman" w:eastAsia="方正仿宋_GBK" w:hAnsi="Times New Roman" w:cs="Times New Roman" w:hint="eastAsia"/>
          <w:spacing w:val="-4"/>
          <w:sz w:val="30"/>
          <w:szCs w:val="30"/>
          <w:lang w:eastAsia="zh-CN"/>
        </w:rPr>
        <w:t>本次绩效评价秉承科学公正、统筹兼顾、激励约束、公开透明等原则，按照决策、过程、产出和效益的绩效评价逻辑框架，突出问题导向。采用比较法、因素分析法进行科学合理的绩效评价，力争全面完整地反映专项债券资金成效，并总结得失，为地方政府专项债的发行与管理、提升专项</w:t>
      </w:r>
      <w:proofErr w:type="gramStart"/>
      <w:r w:rsidRPr="00532AA7">
        <w:rPr>
          <w:rFonts w:ascii="Times New Roman" w:eastAsia="方正仿宋_GBK" w:hAnsi="Times New Roman" w:cs="Times New Roman" w:hint="eastAsia"/>
          <w:spacing w:val="-4"/>
          <w:sz w:val="30"/>
          <w:szCs w:val="30"/>
          <w:lang w:eastAsia="zh-CN"/>
        </w:rPr>
        <w:t>债资金</w:t>
      </w:r>
      <w:proofErr w:type="gramEnd"/>
      <w:r w:rsidRPr="00532AA7">
        <w:rPr>
          <w:rFonts w:ascii="Times New Roman" w:eastAsia="方正仿宋_GBK" w:hAnsi="Times New Roman" w:cs="Times New Roman" w:hint="eastAsia"/>
          <w:spacing w:val="-4"/>
          <w:sz w:val="30"/>
          <w:szCs w:val="30"/>
          <w:lang w:eastAsia="zh-CN"/>
        </w:rPr>
        <w:t>使用效益提供科学合理的参考意见；指标设计上定性与定量相结合，优先定量。</w:t>
      </w:r>
    </w:p>
    <w:p w:rsidR="005A4AB6" w:rsidRDefault="00B23E9C" w:rsidP="007A74BC">
      <w:pPr>
        <w:spacing w:line="560" w:lineRule="exact"/>
        <w:ind w:firstLineChars="200" w:firstLine="592"/>
        <w:jc w:val="both"/>
        <w:rPr>
          <w:rFonts w:ascii="方正楷体_GBK" w:eastAsia="方正楷体_GBK" w:hAnsi="方正楷体_GBK" w:cs="方正楷体_GBK"/>
          <w:spacing w:val="-4"/>
          <w:sz w:val="30"/>
          <w:szCs w:val="30"/>
          <w:lang w:eastAsia="zh-CN"/>
        </w:rPr>
      </w:pPr>
      <w:r>
        <w:rPr>
          <w:rFonts w:ascii="方正楷体_GBK" w:eastAsia="方正楷体_GBK" w:hAnsi="方正楷体_GBK" w:cs="方正楷体_GBK" w:hint="eastAsia"/>
          <w:spacing w:val="-4"/>
          <w:sz w:val="30"/>
          <w:szCs w:val="30"/>
          <w:lang w:eastAsia="zh-CN"/>
        </w:rPr>
        <w:lastRenderedPageBreak/>
        <w:t>（三）</w:t>
      </w:r>
      <w:r>
        <w:rPr>
          <w:rFonts w:ascii="方正楷体_GBK" w:eastAsia="方正楷体_GBK" w:hAnsi="方正楷体_GBK" w:cs="方正楷体_GBK"/>
          <w:spacing w:val="-4"/>
          <w:sz w:val="30"/>
          <w:szCs w:val="30"/>
          <w:lang w:eastAsia="zh-CN"/>
        </w:rPr>
        <w:t>评价工作情况</w:t>
      </w:r>
    </w:p>
    <w:p w:rsidR="00B655AD" w:rsidRPr="00B655AD" w:rsidRDefault="00B655AD" w:rsidP="00B655AD">
      <w:pPr>
        <w:spacing w:line="560" w:lineRule="exact"/>
        <w:ind w:firstLineChars="200" w:firstLine="592"/>
        <w:jc w:val="both"/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</w:pPr>
      <w:r w:rsidRPr="00B655AD"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1.</w:t>
      </w:r>
      <w:r w:rsidRPr="00B655AD"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前期准备阶段</w:t>
      </w:r>
    </w:p>
    <w:p w:rsidR="00B655AD" w:rsidRPr="00B655AD" w:rsidRDefault="00B655AD" w:rsidP="00B655AD">
      <w:pPr>
        <w:spacing w:line="560" w:lineRule="exact"/>
        <w:ind w:firstLineChars="200" w:firstLine="592"/>
        <w:jc w:val="both"/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</w:pPr>
      <w:r w:rsidRPr="00B655AD">
        <w:rPr>
          <w:rFonts w:ascii="Times New Roman" w:eastAsia="方正仿宋_GBK" w:hAnsi="Times New Roman" w:cs="Times New Roman" w:hint="eastAsia"/>
          <w:spacing w:val="-4"/>
          <w:sz w:val="30"/>
          <w:szCs w:val="30"/>
          <w:lang w:eastAsia="zh-CN"/>
        </w:rPr>
        <w:t>检查相关资料、实地查看项目实施情况等方式对项目进行深入调研，形成绩效评价总体思路，并确定绩效评价的基本方法。</w:t>
      </w:r>
    </w:p>
    <w:p w:rsidR="00B655AD" w:rsidRPr="00B655AD" w:rsidRDefault="00B655AD" w:rsidP="00B655AD">
      <w:pPr>
        <w:spacing w:line="560" w:lineRule="exact"/>
        <w:ind w:firstLineChars="200" w:firstLine="592"/>
        <w:jc w:val="both"/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</w:pPr>
      <w:r w:rsidRPr="00B655AD"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2.</w:t>
      </w:r>
      <w:r w:rsidRPr="00B655AD"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组织实施阶段</w:t>
      </w:r>
    </w:p>
    <w:p w:rsidR="00B655AD" w:rsidRPr="00B655AD" w:rsidRDefault="00B655AD" w:rsidP="00B655AD">
      <w:pPr>
        <w:spacing w:line="560" w:lineRule="exact"/>
        <w:ind w:firstLineChars="200" w:firstLine="592"/>
        <w:jc w:val="both"/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</w:pPr>
      <w:r w:rsidRPr="00B655AD">
        <w:rPr>
          <w:rFonts w:ascii="Times New Roman" w:eastAsia="方正仿宋_GBK" w:hAnsi="Times New Roman" w:cs="Times New Roman" w:hint="eastAsia"/>
          <w:spacing w:val="-4"/>
          <w:sz w:val="30"/>
          <w:szCs w:val="30"/>
          <w:lang w:eastAsia="zh-CN"/>
        </w:rPr>
        <w:t>（</w:t>
      </w:r>
      <w:r w:rsidRPr="00B655AD"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1</w:t>
      </w:r>
      <w:r w:rsidRPr="00B655AD"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）研发指标体系</w:t>
      </w:r>
    </w:p>
    <w:p w:rsidR="00B655AD" w:rsidRPr="00B655AD" w:rsidRDefault="00B655AD" w:rsidP="00B655AD">
      <w:pPr>
        <w:spacing w:line="560" w:lineRule="exact"/>
        <w:ind w:firstLineChars="200" w:firstLine="592"/>
        <w:jc w:val="both"/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</w:pPr>
      <w:r w:rsidRPr="00B655AD">
        <w:rPr>
          <w:rFonts w:ascii="Times New Roman" w:eastAsia="方正仿宋_GBK" w:hAnsi="Times New Roman" w:cs="Times New Roman" w:hint="eastAsia"/>
          <w:spacing w:val="-4"/>
          <w:sz w:val="30"/>
          <w:szCs w:val="30"/>
          <w:lang w:eastAsia="zh-CN"/>
        </w:rPr>
        <w:t>从项目过程、产出</w:t>
      </w:r>
      <w:r w:rsidR="003818C0">
        <w:rPr>
          <w:rFonts w:ascii="Times New Roman" w:eastAsia="方正仿宋_GBK" w:hAnsi="Times New Roman" w:cs="Times New Roman" w:hint="eastAsia"/>
          <w:spacing w:val="-4"/>
          <w:sz w:val="30"/>
          <w:szCs w:val="30"/>
          <w:lang w:eastAsia="zh-CN"/>
        </w:rPr>
        <w:t>、</w:t>
      </w:r>
      <w:r w:rsidRPr="00B655AD">
        <w:rPr>
          <w:rFonts w:ascii="Times New Roman" w:eastAsia="方正仿宋_GBK" w:hAnsi="Times New Roman" w:cs="Times New Roman" w:hint="eastAsia"/>
          <w:spacing w:val="-4"/>
          <w:sz w:val="30"/>
          <w:szCs w:val="30"/>
          <w:lang w:eastAsia="zh-CN"/>
        </w:rPr>
        <w:t>效益</w:t>
      </w:r>
      <w:r w:rsidR="003818C0">
        <w:rPr>
          <w:rFonts w:ascii="Times New Roman" w:eastAsia="方正仿宋_GBK" w:hAnsi="Times New Roman" w:cs="Times New Roman" w:hint="eastAsia"/>
          <w:spacing w:val="-4"/>
          <w:sz w:val="30"/>
          <w:szCs w:val="30"/>
          <w:lang w:eastAsia="zh-CN"/>
        </w:rPr>
        <w:t>、满意度</w:t>
      </w:r>
      <w:r w:rsidRPr="00B655AD">
        <w:rPr>
          <w:rFonts w:ascii="Times New Roman" w:eastAsia="方正仿宋_GBK" w:hAnsi="Times New Roman" w:cs="Times New Roman" w:hint="eastAsia"/>
          <w:spacing w:val="-4"/>
          <w:sz w:val="30"/>
          <w:szCs w:val="30"/>
          <w:lang w:eastAsia="zh-CN"/>
        </w:rPr>
        <w:t>等</w:t>
      </w:r>
      <w:r w:rsidRPr="00B655AD">
        <w:rPr>
          <w:rFonts w:ascii="Times New Roman" w:eastAsia="方正仿宋_GBK" w:hAnsi="Times New Roman" w:cs="Times New Roman" w:hint="eastAsia"/>
          <w:spacing w:val="-4"/>
          <w:sz w:val="30"/>
          <w:szCs w:val="30"/>
          <w:lang w:eastAsia="zh-CN"/>
        </w:rPr>
        <w:t>4</w:t>
      </w:r>
      <w:r w:rsidRPr="00B655AD"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个方面设计绩效评价指标体系。</w:t>
      </w:r>
    </w:p>
    <w:p w:rsidR="00B655AD" w:rsidRPr="00B655AD" w:rsidRDefault="00B655AD" w:rsidP="00B655AD">
      <w:pPr>
        <w:spacing w:line="560" w:lineRule="exact"/>
        <w:ind w:firstLineChars="200" w:firstLine="592"/>
        <w:jc w:val="both"/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</w:pPr>
      <w:r w:rsidRPr="00B655AD">
        <w:rPr>
          <w:rFonts w:ascii="Times New Roman" w:eastAsia="方正仿宋_GBK" w:hAnsi="Times New Roman" w:cs="Times New Roman" w:hint="eastAsia"/>
          <w:spacing w:val="-4"/>
          <w:sz w:val="30"/>
          <w:szCs w:val="30"/>
          <w:lang w:eastAsia="zh-CN"/>
        </w:rPr>
        <w:t>（</w:t>
      </w:r>
      <w:r w:rsidRPr="00B655AD"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2</w:t>
      </w:r>
      <w:r w:rsidRPr="00B655AD"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）现场数据采集</w:t>
      </w:r>
    </w:p>
    <w:p w:rsidR="003818C0" w:rsidRDefault="00B655AD" w:rsidP="00B655AD">
      <w:pPr>
        <w:spacing w:line="560" w:lineRule="exact"/>
        <w:ind w:firstLineChars="200" w:firstLine="592"/>
        <w:jc w:val="both"/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</w:pPr>
      <w:r w:rsidRPr="00B655AD">
        <w:rPr>
          <w:rFonts w:ascii="Times New Roman" w:eastAsia="方正仿宋_GBK" w:hAnsi="Times New Roman" w:cs="Times New Roman" w:hint="eastAsia"/>
          <w:spacing w:val="-4"/>
          <w:sz w:val="30"/>
          <w:szCs w:val="30"/>
          <w:lang w:eastAsia="zh-CN"/>
        </w:rPr>
        <w:t>数据采集包括专项债券的发行、债务资金拨付、到位、支出情况、丁家庄建设项目完成情况等。</w:t>
      </w:r>
    </w:p>
    <w:p w:rsidR="00B655AD" w:rsidRPr="00B655AD" w:rsidRDefault="00B655AD" w:rsidP="00B655AD">
      <w:pPr>
        <w:spacing w:line="560" w:lineRule="exact"/>
        <w:ind w:firstLineChars="200" w:firstLine="592"/>
        <w:jc w:val="both"/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</w:pPr>
      <w:r w:rsidRPr="00B655AD"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3.</w:t>
      </w:r>
      <w:r w:rsidRPr="00B655AD"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综合评价阶段</w:t>
      </w:r>
    </w:p>
    <w:p w:rsidR="00B655AD" w:rsidRPr="00B655AD" w:rsidRDefault="00B655AD" w:rsidP="00B655AD">
      <w:pPr>
        <w:spacing w:line="560" w:lineRule="exact"/>
        <w:ind w:firstLineChars="200" w:firstLine="592"/>
        <w:jc w:val="both"/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</w:pPr>
      <w:r w:rsidRPr="00B655AD">
        <w:rPr>
          <w:rFonts w:ascii="Times New Roman" w:eastAsia="方正仿宋_GBK" w:hAnsi="Times New Roman" w:cs="Times New Roman" w:hint="eastAsia"/>
          <w:spacing w:val="-4"/>
          <w:sz w:val="30"/>
          <w:szCs w:val="30"/>
          <w:lang w:eastAsia="zh-CN"/>
        </w:rPr>
        <w:t>依据制定的评价标准进行了评价指标打分，以定量和定性相结合的评价方法，撰写专项债券绩效</w:t>
      </w:r>
      <w:r w:rsidR="003818C0">
        <w:rPr>
          <w:rFonts w:ascii="Times New Roman" w:eastAsia="方正仿宋_GBK" w:hAnsi="Times New Roman" w:cs="Times New Roman" w:hint="eastAsia"/>
          <w:spacing w:val="-4"/>
          <w:sz w:val="30"/>
          <w:szCs w:val="30"/>
          <w:lang w:eastAsia="zh-CN"/>
        </w:rPr>
        <w:t>自</w:t>
      </w:r>
      <w:r w:rsidRPr="00B655AD">
        <w:rPr>
          <w:rFonts w:ascii="Times New Roman" w:eastAsia="方正仿宋_GBK" w:hAnsi="Times New Roman" w:cs="Times New Roman" w:hint="eastAsia"/>
          <w:spacing w:val="-4"/>
          <w:sz w:val="30"/>
          <w:szCs w:val="30"/>
          <w:lang w:eastAsia="zh-CN"/>
        </w:rPr>
        <w:t>评价报告。</w:t>
      </w:r>
    </w:p>
    <w:p w:rsidR="005A4AB6" w:rsidRDefault="00B23E9C" w:rsidP="007A74BC">
      <w:pPr>
        <w:spacing w:line="560" w:lineRule="exact"/>
        <w:ind w:firstLineChars="200" w:firstLine="592"/>
        <w:jc w:val="both"/>
        <w:rPr>
          <w:rFonts w:ascii="方正楷体_GBK" w:eastAsia="方正楷体_GBK" w:hAnsi="方正楷体_GBK" w:cs="方正楷体_GBK"/>
          <w:spacing w:val="-4"/>
          <w:sz w:val="30"/>
          <w:szCs w:val="30"/>
          <w:lang w:eastAsia="zh-CN"/>
        </w:rPr>
      </w:pPr>
      <w:r>
        <w:rPr>
          <w:rFonts w:ascii="方正楷体_GBK" w:eastAsia="方正楷体_GBK" w:hAnsi="方正楷体_GBK" w:cs="方正楷体_GBK"/>
          <w:spacing w:val="-4"/>
          <w:sz w:val="30"/>
          <w:szCs w:val="30"/>
          <w:lang w:eastAsia="zh-CN"/>
        </w:rPr>
        <w:t>（四）绩效评价结论</w:t>
      </w:r>
    </w:p>
    <w:p w:rsidR="005A4AB6" w:rsidRDefault="00E422B6" w:rsidP="00E422B6">
      <w:pPr>
        <w:spacing w:line="560" w:lineRule="exact"/>
        <w:ind w:firstLineChars="200" w:firstLine="592"/>
        <w:jc w:val="both"/>
        <w:rPr>
          <w:rFonts w:ascii="Times New Roman" w:eastAsia="方正仿宋_GBK" w:hAnsi="Times New Roman" w:cs="Times New Roman"/>
          <w:sz w:val="30"/>
          <w:szCs w:val="30"/>
          <w:lang w:eastAsia="zh-CN"/>
        </w:rPr>
      </w:pPr>
      <w:r w:rsidRPr="00E422B6">
        <w:rPr>
          <w:rFonts w:ascii="Times New Roman" w:eastAsia="方正仿宋_GBK" w:hAnsi="Times New Roman" w:cs="Times New Roman" w:hint="eastAsia"/>
          <w:spacing w:val="-4"/>
          <w:sz w:val="30"/>
          <w:szCs w:val="30"/>
          <w:lang w:eastAsia="zh-CN"/>
        </w:rPr>
        <w:t>依据确定的绩效评价指标体系、评价标准和评分规则，采集和确认评价基础数据，采用分类评价方式，从过程、产出、效益</w:t>
      </w:r>
      <w:r>
        <w:rPr>
          <w:rFonts w:ascii="Times New Roman" w:eastAsia="方正仿宋_GBK" w:hAnsi="Times New Roman" w:cs="Times New Roman" w:hint="eastAsia"/>
          <w:spacing w:val="-4"/>
          <w:sz w:val="30"/>
          <w:szCs w:val="30"/>
          <w:lang w:eastAsia="zh-CN"/>
        </w:rPr>
        <w:t>、满意度</w:t>
      </w:r>
      <w:r w:rsidRPr="00E422B6">
        <w:rPr>
          <w:rFonts w:ascii="Times New Roman" w:eastAsia="方正仿宋_GBK" w:hAnsi="Times New Roman" w:cs="Times New Roman" w:hint="eastAsia"/>
          <w:spacing w:val="-4"/>
          <w:sz w:val="30"/>
          <w:szCs w:val="30"/>
          <w:lang w:eastAsia="zh-CN"/>
        </w:rPr>
        <w:t>等方面进行综合评价和量化打分。经</w:t>
      </w:r>
      <w:r>
        <w:rPr>
          <w:rFonts w:ascii="Times New Roman" w:eastAsia="方正仿宋_GBK" w:hAnsi="Times New Roman" w:cs="Times New Roman" w:hint="eastAsia"/>
          <w:spacing w:val="-4"/>
          <w:sz w:val="30"/>
          <w:szCs w:val="30"/>
          <w:lang w:eastAsia="zh-CN"/>
        </w:rPr>
        <w:t>自</w:t>
      </w:r>
      <w:r w:rsidRPr="00E422B6">
        <w:rPr>
          <w:rFonts w:ascii="Times New Roman" w:eastAsia="方正仿宋_GBK" w:hAnsi="Times New Roman" w:cs="Times New Roman" w:hint="eastAsia"/>
          <w:spacing w:val="-4"/>
          <w:sz w:val="30"/>
          <w:szCs w:val="30"/>
          <w:lang w:eastAsia="zh-CN"/>
        </w:rPr>
        <w:t>评价，</w:t>
      </w:r>
      <w:r w:rsidRPr="00E422B6"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202</w:t>
      </w:r>
      <w:r w:rsidR="00F048B7">
        <w:rPr>
          <w:rFonts w:ascii="Times New Roman" w:eastAsia="方正仿宋_GBK" w:hAnsi="Times New Roman" w:cs="Times New Roman" w:hint="eastAsia"/>
          <w:spacing w:val="-4"/>
          <w:sz w:val="30"/>
          <w:szCs w:val="30"/>
          <w:lang w:eastAsia="zh-CN"/>
        </w:rPr>
        <w:t>4</w:t>
      </w:r>
      <w:r w:rsidRPr="00E422B6"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年度丁家</w:t>
      </w:r>
      <w:proofErr w:type="gramStart"/>
      <w:r w:rsidRPr="00E422B6"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庄院区</w:t>
      </w:r>
      <w:proofErr w:type="gramEnd"/>
      <w:r w:rsidRPr="00E422B6"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建设专项</w:t>
      </w:r>
      <w:proofErr w:type="gramStart"/>
      <w:r w:rsidRPr="00E422B6"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  <w:t>债项目</w:t>
      </w:r>
      <w:proofErr w:type="gramEnd"/>
      <w:r w:rsidRPr="00E422B6">
        <w:rPr>
          <w:rFonts w:ascii="Times New Roman" w:eastAsia="方正仿宋_GBK" w:hAnsi="Times New Roman" w:cs="Times New Roman" w:hint="eastAsia"/>
          <w:spacing w:val="-4"/>
          <w:sz w:val="30"/>
          <w:szCs w:val="30"/>
          <w:lang w:eastAsia="zh-CN"/>
        </w:rPr>
        <w:t>绩效评分为</w:t>
      </w:r>
      <w:r w:rsidR="00F048B7">
        <w:rPr>
          <w:rFonts w:ascii="Times New Roman" w:eastAsia="方正仿宋_GBK" w:hAnsi="Times New Roman" w:cs="Times New Roman" w:hint="eastAsia"/>
          <w:spacing w:val="-4"/>
          <w:sz w:val="30"/>
          <w:szCs w:val="30"/>
          <w:lang w:eastAsia="zh-CN"/>
        </w:rPr>
        <w:t>98</w:t>
      </w:r>
      <w:r w:rsidRPr="00E422B6">
        <w:rPr>
          <w:rFonts w:ascii="Times New Roman" w:eastAsia="方正仿宋_GBK" w:hAnsi="Times New Roman" w:cs="Times New Roman" w:hint="eastAsia"/>
          <w:spacing w:val="-4"/>
          <w:sz w:val="30"/>
          <w:szCs w:val="30"/>
          <w:lang w:eastAsia="zh-CN"/>
        </w:rPr>
        <w:t>分，绩效等级为“</w:t>
      </w:r>
      <w:r>
        <w:rPr>
          <w:rFonts w:ascii="Times New Roman" w:eastAsia="方正仿宋_GBK" w:hAnsi="Times New Roman" w:cs="Times New Roman" w:hint="eastAsia"/>
          <w:spacing w:val="-4"/>
          <w:sz w:val="30"/>
          <w:szCs w:val="30"/>
          <w:lang w:eastAsia="zh-CN"/>
        </w:rPr>
        <w:t>优”。</w:t>
      </w:r>
    </w:p>
    <w:p w:rsidR="005A4AB6" w:rsidRDefault="00B23E9C">
      <w:pPr>
        <w:spacing w:line="560" w:lineRule="exact"/>
        <w:ind w:firstLineChars="200" w:firstLine="600"/>
        <w:jc w:val="both"/>
        <w:rPr>
          <w:rFonts w:ascii="Times New Roman" w:eastAsia="方正仿宋_GBK" w:hAnsi="Times New Roman" w:cs="Times New Roman"/>
          <w:spacing w:val="-15"/>
          <w:sz w:val="30"/>
          <w:szCs w:val="30"/>
          <w:lang w:eastAsia="zh-CN"/>
        </w:rPr>
      </w:pPr>
      <w:r>
        <w:rPr>
          <w:rFonts w:ascii="Times New Roman" w:eastAsia="黑体" w:hAnsi="Times New Roman" w:cs="Times New Roman"/>
          <w:sz w:val="30"/>
          <w:szCs w:val="30"/>
          <w:lang w:eastAsia="zh-CN"/>
        </w:rPr>
        <w:t>三、项目绩效</w:t>
      </w:r>
    </w:p>
    <w:p w:rsidR="005A4AB6" w:rsidRDefault="00B23E9C" w:rsidP="007A74BC">
      <w:pPr>
        <w:spacing w:line="560" w:lineRule="exact"/>
        <w:ind w:firstLineChars="200" w:firstLine="570"/>
        <w:jc w:val="both"/>
        <w:rPr>
          <w:rFonts w:ascii="Times New Roman" w:eastAsia="方正仿宋_GBK" w:hAnsi="Times New Roman" w:cs="Times New Roman"/>
          <w:spacing w:val="-15"/>
          <w:sz w:val="30"/>
          <w:szCs w:val="30"/>
          <w:lang w:eastAsia="zh-CN"/>
        </w:rPr>
      </w:pPr>
      <w:r>
        <w:rPr>
          <w:rFonts w:ascii="Times New Roman" w:eastAsia="方正仿宋_GBK" w:hAnsi="Times New Roman" w:cs="Times New Roman"/>
          <w:spacing w:val="-15"/>
          <w:sz w:val="30"/>
          <w:szCs w:val="30"/>
          <w:lang w:eastAsia="zh-CN"/>
        </w:rPr>
        <w:t>专项债券资金为南京市妇幼保健院丁家</w:t>
      </w:r>
      <w:proofErr w:type="gramStart"/>
      <w:r>
        <w:rPr>
          <w:rFonts w:ascii="Times New Roman" w:eastAsia="方正仿宋_GBK" w:hAnsi="Times New Roman" w:cs="Times New Roman"/>
          <w:spacing w:val="-15"/>
          <w:sz w:val="30"/>
          <w:szCs w:val="30"/>
          <w:lang w:eastAsia="zh-CN"/>
        </w:rPr>
        <w:t>庄院区</w:t>
      </w:r>
      <w:proofErr w:type="gramEnd"/>
      <w:r>
        <w:rPr>
          <w:rFonts w:ascii="Times New Roman" w:eastAsia="方正仿宋_GBK" w:hAnsi="Times New Roman" w:cs="Times New Roman"/>
          <w:spacing w:val="-15"/>
          <w:sz w:val="30"/>
          <w:szCs w:val="30"/>
          <w:lang w:eastAsia="zh-CN"/>
        </w:rPr>
        <w:t>建设项目提供了有力的资金保障，对工程建设稳步推进、农民工工资及时发放起到了重要作</w:t>
      </w:r>
      <w:r>
        <w:rPr>
          <w:rFonts w:ascii="Times New Roman" w:eastAsia="方正仿宋_GBK" w:hAnsi="Times New Roman" w:cs="Times New Roman"/>
          <w:spacing w:val="-15"/>
          <w:sz w:val="30"/>
          <w:szCs w:val="30"/>
          <w:lang w:eastAsia="zh-CN"/>
        </w:rPr>
        <w:lastRenderedPageBreak/>
        <w:t>用。</w:t>
      </w:r>
      <w:r>
        <w:rPr>
          <w:rFonts w:ascii="Times New Roman" w:eastAsia="方正仿宋_GBK" w:hAnsi="Times New Roman" w:cs="Times New Roman"/>
          <w:spacing w:val="-15"/>
          <w:sz w:val="30"/>
          <w:szCs w:val="30"/>
          <w:lang w:eastAsia="zh-CN"/>
        </w:rPr>
        <w:t>202</w:t>
      </w:r>
      <w:r w:rsidR="00F048B7">
        <w:rPr>
          <w:rFonts w:ascii="Times New Roman" w:eastAsia="方正仿宋_GBK" w:hAnsi="Times New Roman" w:cs="Times New Roman" w:hint="eastAsia"/>
          <w:spacing w:val="-15"/>
          <w:sz w:val="30"/>
          <w:szCs w:val="30"/>
          <w:lang w:eastAsia="zh-CN"/>
        </w:rPr>
        <w:t>4</w:t>
      </w:r>
      <w:r>
        <w:rPr>
          <w:rFonts w:ascii="Times New Roman" w:eastAsia="方正仿宋_GBK" w:hAnsi="Times New Roman" w:cs="Times New Roman"/>
          <w:spacing w:val="-15"/>
          <w:sz w:val="30"/>
          <w:szCs w:val="30"/>
          <w:lang w:eastAsia="zh-CN"/>
        </w:rPr>
        <w:t>年度项目顺利完成各项建设任务和施工节点要求。</w:t>
      </w:r>
    </w:p>
    <w:p w:rsidR="005A4AB6" w:rsidRDefault="00B23E9C">
      <w:pPr>
        <w:spacing w:line="560" w:lineRule="exact"/>
        <w:ind w:firstLineChars="200" w:firstLine="600"/>
        <w:jc w:val="both"/>
        <w:rPr>
          <w:rFonts w:ascii="Times New Roman" w:eastAsia="黑体" w:hAnsi="Times New Roman" w:cs="Times New Roman"/>
          <w:sz w:val="30"/>
          <w:szCs w:val="30"/>
          <w:lang w:eastAsia="zh-CN"/>
        </w:rPr>
      </w:pPr>
      <w:r>
        <w:rPr>
          <w:rFonts w:ascii="Times New Roman" w:eastAsia="黑体" w:hAnsi="Times New Roman" w:cs="Times New Roman"/>
          <w:sz w:val="30"/>
          <w:szCs w:val="30"/>
          <w:lang w:eastAsia="zh-CN"/>
        </w:rPr>
        <w:t>四、存在问题</w:t>
      </w:r>
    </w:p>
    <w:p w:rsidR="00A106A2" w:rsidRDefault="00A106A2" w:rsidP="00A106A2">
      <w:pPr>
        <w:spacing w:line="560" w:lineRule="exact"/>
        <w:ind w:firstLineChars="200" w:firstLine="570"/>
        <w:jc w:val="both"/>
        <w:rPr>
          <w:rFonts w:ascii="Times New Roman" w:eastAsia="方正仿宋_GBK" w:hAnsi="Times New Roman" w:cs="Times New Roman"/>
          <w:spacing w:val="-15"/>
          <w:sz w:val="30"/>
          <w:szCs w:val="30"/>
          <w:lang w:eastAsia="zh-CN"/>
        </w:rPr>
      </w:pPr>
      <w:r w:rsidRPr="00A106A2">
        <w:rPr>
          <w:rFonts w:ascii="Times New Roman" w:eastAsia="方正仿宋_GBK" w:hAnsi="Times New Roman" w:cs="Times New Roman" w:hint="eastAsia"/>
          <w:spacing w:val="-15"/>
          <w:sz w:val="30"/>
          <w:szCs w:val="30"/>
          <w:lang w:eastAsia="zh-CN"/>
        </w:rPr>
        <w:t>受</w:t>
      </w:r>
      <w:r w:rsidR="00F048B7">
        <w:rPr>
          <w:rFonts w:ascii="Times New Roman" w:eastAsia="方正仿宋_GBK" w:hAnsi="Times New Roman" w:cs="Times New Roman" w:hint="eastAsia"/>
          <w:spacing w:val="-15"/>
          <w:sz w:val="30"/>
          <w:szCs w:val="30"/>
          <w:lang w:eastAsia="zh-CN"/>
        </w:rPr>
        <w:t>各种因素</w:t>
      </w:r>
      <w:r w:rsidRPr="00A106A2">
        <w:rPr>
          <w:rFonts w:ascii="Times New Roman" w:eastAsia="方正仿宋_GBK" w:hAnsi="Times New Roman" w:cs="Times New Roman" w:hint="eastAsia"/>
          <w:spacing w:val="-15"/>
          <w:sz w:val="30"/>
          <w:szCs w:val="30"/>
          <w:lang w:eastAsia="zh-CN"/>
        </w:rPr>
        <w:t>影响，项目</w:t>
      </w:r>
      <w:r w:rsidR="00F048B7">
        <w:rPr>
          <w:rFonts w:ascii="Times New Roman" w:eastAsia="方正仿宋_GBK" w:hAnsi="Times New Roman" w:cs="Times New Roman" w:hint="eastAsia"/>
          <w:spacing w:val="-15"/>
          <w:sz w:val="30"/>
          <w:szCs w:val="30"/>
          <w:lang w:eastAsia="zh-CN"/>
        </w:rPr>
        <w:t>交付</w:t>
      </w:r>
      <w:r w:rsidRPr="00A106A2">
        <w:rPr>
          <w:rFonts w:ascii="Times New Roman" w:eastAsia="方正仿宋_GBK" w:hAnsi="Times New Roman" w:cs="Times New Roman" w:hint="eastAsia"/>
          <w:spacing w:val="-15"/>
          <w:sz w:val="30"/>
          <w:szCs w:val="30"/>
          <w:lang w:eastAsia="zh-CN"/>
        </w:rPr>
        <w:t>进度相对计划略有滞后。</w:t>
      </w:r>
    </w:p>
    <w:p w:rsidR="005A4AB6" w:rsidRDefault="00B23E9C" w:rsidP="00A106A2">
      <w:pPr>
        <w:spacing w:line="560" w:lineRule="exact"/>
        <w:ind w:firstLineChars="200" w:firstLine="600"/>
        <w:jc w:val="both"/>
        <w:rPr>
          <w:rFonts w:ascii="Times New Roman" w:eastAsia="方正仿宋_GBK" w:hAnsi="Times New Roman" w:cs="Times New Roman"/>
          <w:spacing w:val="-4"/>
          <w:sz w:val="30"/>
          <w:szCs w:val="30"/>
          <w:lang w:eastAsia="zh-CN"/>
        </w:rPr>
      </w:pPr>
      <w:r>
        <w:rPr>
          <w:rFonts w:ascii="Times New Roman" w:eastAsia="黑体" w:hAnsi="Times New Roman" w:cs="Times New Roman"/>
          <w:sz w:val="30"/>
          <w:szCs w:val="30"/>
          <w:lang w:eastAsia="zh-CN"/>
        </w:rPr>
        <w:t>五、有关建议</w:t>
      </w:r>
    </w:p>
    <w:p w:rsidR="00C42A21" w:rsidRPr="00C42A21" w:rsidRDefault="00C42A21" w:rsidP="00C42A21">
      <w:pPr>
        <w:spacing w:line="560" w:lineRule="exact"/>
        <w:ind w:firstLineChars="200" w:firstLine="570"/>
        <w:jc w:val="both"/>
        <w:rPr>
          <w:rFonts w:ascii="Times New Roman" w:eastAsia="方正仿宋_GBK" w:hAnsi="Times New Roman" w:cs="Times New Roman"/>
          <w:spacing w:val="-15"/>
          <w:sz w:val="30"/>
          <w:szCs w:val="30"/>
          <w:lang w:eastAsia="zh-CN"/>
        </w:rPr>
      </w:pPr>
      <w:r w:rsidRPr="00C42A21">
        <w:rPr>
          <w:rFonts w:ascii="Times New Roman" w:eastAsia="方正仿宋_GBK" w:hAnsi="Times New Roman" w:cs="Times New Roman" w:hint="eastAsia"/>
          <w:spacing w:val="-15"/>
          <w:sz w:val="30"/>
          <w:szCs w:val="30"/>
          <w:lang w:eastAsia="zh-CN"/>
        </w:rPr>
        <w:t>强化项目管理意识，明确项目年度任务目标，各项目承担单位应创新工作方法，制定时间表，加强沟通协调，责任到人，</w:t>
      </w:r>
      <w:r w:rsidR="00F048B7">
        <w:rPr>
          <w:rFonts w:ascii="Times New Roman" w:eastAsia="方正仿宋_GBK" w:hAnsi="Times New Roman" w:cs="Times New Roman" w:hint="eastAsia"/>
          <w:spacing w:val="-15"/>
          <w:sz w:val="30"/>
          <w:szCs w:val="30"/>
          <w:lang w:eastAsia="zh-CN"/>
        </w:rPr>
        <w:t>确保</w:t>
      </w:r>
      <w:r w:rsidRPr="00C42A21">
        <w:rPr>
          <w:rFonts w:ascii="Times New Roman" w:eastAsia="方正仿宋_GBK" w:hAnsi="Times New Roman" w:cs="Times New Roman" w:hint="eastAsia"/>
          <w:spacing w:val="-15"/>
          <w:sz w:val="30"/>
          <w:szCs w:val="30"/>
          <w:lang w:eastAsia="zh-CN"/>
        </w:rPr>
        <w:t>完成项目</w:t>
      </w:r>
      <w:r w:rsidR="00F048B7">
        <w:rPr>
          <w:rFonts w:ascii="Times New Roman" w:eastAsia="方正仿宋_GBK" w:hAnsi="Times New Roman" w:cs="Times New Roman" w:hint="eastAsia"/>
          <w:spacing w:val="-15"/>
          <w:sz w:val="30"/>
          <w:szCs w:val="30"/>
          <w:lang w:eastAsia="zh-CN"/>
        </w:rPr>
        <w:t>预期目标</w:t>
      </w:r>
      <w:bookmarkStart w:id="1" w:name="_GoBack"/>
      <w:bookmarkEnd w:id="1"/>
      <w:r w:rsidRPr="00C42A21">
        <w:rPr>
          <w:rFonts w:ascii="Times New Roman" w:eastAsia="方正仿宋_GBK" w:hAnsi="Times New Roman" w:cs="Times New Roman" w:hint="eastAsia"/>
          <w:spacing w:val="-15"/>
          <w:sz w:val="30"/>
          <w:szCs w:val="30"/>
          <w:lang w:eastAsia="zh-CN"/>
        </w:rPr>
        <w:t>。</w:t>
      </w:r>
    </w:p>
    <w:p w:rsidR="005A4AB6" w:rsidRDefault="00B23E9C">
      <w:pPr>
        <w:spacing w:line="560" w:lineRule="exact"/>
        <w:ind w:firstLineChars="200" w:firstLine="600"/>
        <w:jc w:val="both"/>
        <w:rPr>
          <w:rFonts w:ascii="Times New Roman" w:eastAsia="方正仿宋_GBK" w:hAnsi="Times New Roman" w:cs="Times New Roman"/>
          <w:sz w:val="30"/>
          <w:szCs w:val="30"/>
          <w:lang w:eastAsia="zh-CN"/>
        </w:rPr>
      </w:pPr>
      <w:r>
        <w:rPr>
          <w:rFonts w:ascii="Times New Roman" w:eastAsia="方正仿宋_GBK" w:hAnsi="Times New Roman" w:cs="Times New Roman" w:hint="eastAsia"/>
          <w:sz w:val="30"/>
          <w:szCs w:val="30"/>
          <w:lang w:eastAsia="zh-CN"/>
        </w:rPr>
        <w:t>附表：江苏省政府专项债券项目资金绩效年度</w:t>
      </w:r>
      <w:proofErr w:type="gramStart"/>
      <w:r>
        <w:rPr>
          <w:rFonts w:ascii="Times New Roman" w:eastAsia="方正仿宋_GBK" w:hAnsi="Times New Roman" w:cs="Times New Roman" w:hint="eastAsia"/>
          <w:sz w:val="30"/>
          <w:szCs w:val="30"/>
          <w:lang w:eastAsia="zh-CN"/>
        </w:rPr>
        <w:t>自评价</w:t>
      </w:r>
      <w:proofErr w:type="gramEnd"/>
      <w:r>
        <w:rPr>
          <w:rFonts w:ascii="Times New Roman" w:eastAsia="方正仿宋_GBK" w:hAnsi="Times New Roman" w:cs="Times New Roman" w:hint="eastAsia"/>
          <w:sz w:val="30"/>
          <w:szCs w:val="30"/>
          <w:lang w:eastAsia="zh-CN"/>
        </w:rPr>
        <w:t>情况表</w:t>
      </w:r>
    </w:p>
    <w:sectPr w:rsidR="005A4AB6">
      <w:footerReference w:type="default" r:id="rId8"/>
      <w:type w:val="continuous"/>
      <w:pgSz w:w="11910" w:h="16840"/>
      <w:pgMar w:top="2098" w:right="1474" w:bottom="1984" w:left="15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CE0" w:rsidRDefault="00F71CE0">
      <w:r>
        <w:separator/>
      </w:r>
    </w:p>
  </w:endnote>
  <w:endnote w:type="continuationSeparator" w:id="0">
    <w:p w:rsidR="00F71CE0" w:rsidRDefault="00F7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AB6" w:rsidRDefault="00B23E9C">
    <w:pPr>
      <w:pStyle w:val="a4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5A4AB6" w:rsidRDefault="00B23E9C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048B7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" filled="f" stroked="f">
              <v:textbox style="mso-fit-shape-to-text:t" inset="0,0,0,0">
                <w:txbxContent>
                  <w:p w:rsidR="005A4AB6" w:rsidRDefault="00B23E9C">
                    <w:pPr>
                      <w:pStyle w:val="a4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F048B7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CE0" w:rsidRDefault="00F71CE0">
      <w:r>
        <w:separator/>
      </w:r>
    </w:p>
  </w:footnote>
  <w:footnote w:type="continuationSeparator" w:id="0">
    <w:p w:rsidR="00F71CE0" w:rsidRDefault="00F71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286"/>
    <w:rsid w:val="0000186F"/>
    <w:rsid w:val="00027842"/>
    <w:rsid w:val="00045765"/>
    <w:rsid w:val="000C0B2D"/>
    <w:rsid w:val="000F0010"/>
    <w:rsid w:val="001076FD"/>
    <w:rsid w:val="00112A3C"/>
    <w:rsid w:val="0012335B"/>
    <w:rsid w:val="0013254F"/>
    <w:rsid w:val="0014257D"/>
    <w:rsid w:val="001D43CE"/>
    <w:rsid w:val="001E1F08"/>
    <w:rsid w:val="001F5652"/>
    <w:rsid w:val="0020342A"/>
    <w:rsid w:val="002034C4"/>
    <w:rsid w:val="00223670"/>
    <w:rsid w:val="002E55FE"/>
    <w:rsid w:val="002F39B9"/>
    <w:rsid w:val="00317F35"/>
    <w:rsid w:val="003818C0"/>
    <w:rsid w:val="00386AB8"/>
    <w:rsid w:val="003A251A"/>
    <w:rsid w:val="003D4D43"/>
    <w:rsid w:val="00412A90"/>
    <w:rsid w:val="00427AA3"/>
    <w:rsid w:val="00453872"/>
    <w:rsid w:val="00485FCA"/>
    <w:rsid w:val="00496584"/>
    <w:rsid w:val="004B1555"/>
    <w:rsid w:val="004E3E98"/>
    <w:rsid w:val="004E4383"/>
    <w:rsid w:val="004F2889"/>
    <w:rsid w:val="00501A13"/>
    <w:rsid w:val="00501A39"/>
    <w:rsid w:val="00532AA7"/>
    <w:rsid w:val="00541FD2"/>
    <w:rsid w:val="0055497B"/>
    <w:rsid w:val="0058181F"/>
    <w:rsid w:val="005A4AB6"/>
    <w:rsid w:val="005C5968"/>
    <w:rsid w:val="005D094F"/>
    <w:rsid w:val="005D61F8"/>
    <w:rsid w:val="005E233C"/>
    <w:rsid w:val="005E749B"/>
    <w:rsid w:val="006032DC"/>
    <w:rsid w:val="006315BE"/>
    <w:rsid w:val="006A0286"/>
    <w:rsid w:val="006F1257"/>
    <w:rsid w:val="006F2AB8"/>
    <w:rsid w:val="00705B52"/>
    <w:rsid w:val="0072674E"/>
    <w:rsid w:val="007416BA"/>
    <w:rsid w:val="0075652D"/>
    <w:rsid w:val="00784065"/>
    <w:rsid w:val="007A74BC"/>
    <w:rsid w:val="007A754E"/>
    <w:rsid w:val="00830C91"/>
    <w:rsid w:val="008C0B41"/>
    <w:rsid w:val="008C735A"/>
    <w:rsid w:val="008D7527"/>
    <w:rsid w:val="008F2FF3"/>
    <w:rsid w:val="008F6FC9"/>
    <w:rsid w:val="00926E98"/>
    <w:rsid w:val="0095504B"/>
    <w:rsid w:val="00986870"/>
    <w:rsid w:val="009B2D68"/>
    <w:rsid w:val="00A106A2"/>
    <w:rsid w:val="00A14DE2"/>
    <w:rsid w:val="00A72387"/>
    <w:rsid w:val="00A863A2"/>
    <w:rsid w:val="00AA24DC"/>
    <w:rsid w:val="00AC69E3"/>
    <w:rsid w:val="00B14C89"/>
    <w:rsid w:val="00B23E9C"/>
    <w:rsid w:val="00B33955"/>
    <w:rsid w:val="00B655AD"/>
    <w:rsid w:val="00BD1F01"/>
    <w:rsid w:val="00C42A21"/>
    <w:rsid w:val="00CB64D3"/>
    <w:rsid w:val="00D20830"/>
    <w:rsid w:val="00D71C46"/>
    <w:rsid w:val="00D855DD"/>
    <w:rsid w:val="00D85F96"/>
    <w:rsid w:val="00DE067D"/>
    <w:rsid w:val="00DF053C"/>
    <w:rsid w:val="00E1011A"/>
    <w:rsid w:val="00E12BC6"/>
    <w:rsid w:val="00E422B6"/>
    <w:rsid w:val="00E70A55"/>
    <w:rsid w:val="00EA442A"/>
    <w:rsid w:val="00EB03FD"/>
    <w:rsid w:val="00ED06B2"/>
    <w:rsid w:val="00EF65E3"/>
    <w:rsid w:val="00F048B7"/>
    <w:rsid w:val="00F161C4"/>
    <w:rsid w:val="00F35A70"/>
    <w:rsid w:val="00F4202D"/>
    <w:rsid w:val="00F71CE0"/>
    <w:rsid w:val="00FB5E7E"/>
    <w:rsid w:val="00FC405A"/>
    <w:rsid w:val="00FC7877"/>
    <w:rsid w:val="00FE4E8E"/>
    <w:rsid w:val="0EE25BD0"/>
    <w:rsid w:val="331217FF"/>
    <w:rsid w:val="3DD9502E"/>
    <w:rsid w:val="5C4E1BEB"/>
    <w:rsid w:val="63CC1360"/>
    <w:rsid w:val="6B7C4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100"/>
      <w:outlineLvl w:val="0"/>
    </w:pPr>
    <w:rPr>
      <w:rFonts w:ascii="宋体" w:eastAsia="宋体" w:hAnsi="宋体"/>
      <w:sz w:val="36"/>
      <w:szCs w:val="36"/>
    </w:rPr>
  </w:style>
  <w:style w:type="paragraph" w:styleId="2">
    <w:name w:val="heading 2"/>
    <w:basedOn w:val="a"/>
    <w:next w:val="a"/>
    <w:uiPriority w:val="1"/>
    <w:qFormat/>
    <w:pPr>
      <w:ind w:left="-21" w:firstLine="2592"/>
      <w:outlineLvl w:val="1"/>
    </w:pPr>
    <w:rPr>
      <w:rFonts w:ascii="宋体" w:eastAsia="宋体" w:hAnsi="宋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207"/>
      <w:ind w:left="120"/>
    </w:pPr>
    <w:rPr>
      <w:rFonts w:ascii="宋体" w:eastAsia="宋体" w:hAnsi="宋体"/>
      <w:sz w:val="30"/>
      <w:szCs w:val="3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黑体_GBK" w:hAnsi="方正黑体_GBK" w:cs="方正黑体_GBK"/>
      <w:color w:val="000000"/>
      <w:sz w:val="24"/>
      <w:szCs w:val="24"/>
      <w:lang w:eastAsia="en-US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100"/>
      <w:outlineLvl w:val="0"/>
    </w:pPr>
    <w:rPr>
      <w:rFonts w:ascii="宋体" w:eastAsia="宋体" w:hAnsi="宋体"/>
      <w:sz w:val="36"/>
      <w:szCs w:val="36"/>
    </w:rPr>
  </w:style>
  <w:style w:type="paragraph" w:styleId="2">
    <w:name w:val="heading 2"/>
    <w:basedOn w:val="a"/>
    <w:next w:val="a"/>
    <w:uiPriority w:val="1"/>
    <w:qFormat/>
    <w:pPr>
      <w:ind w:left="-21" w:firstLine="2592"/>
      <w:outlineLvl w:val="1"/>
    </w:pPr>
    <w:rPr>
      <w:rFonts w:ascii="宋体" w:eastAsia="宋体" w:hAnsi="宋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207"/>
      <w:ind w:left="120"/>
    </w:pPr>
    <w:rPr>
      <w:rFonts w:ascii="宋体" w:eastAsia="宋体" w:hAnsi="宋体"/>
      <w:sz w:val="30"/>
      <w:szCs w:val="3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黑体_GBK" w:hAnsi="方正黑体_GBK" w:cs="方正黑体_GBK"/>
      <w:color w:val="000000"/>
      <w:sz w:val="24"/>
      <w:szCs w:val="24"/>
      <w:lang w:eastAsia="en-US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418</Words>
  <Characters>2383</Characters>
  <Application>Microsoft Office Word</Application>
  <DocSecurity>0</DocSecurity>
  <Lines>19</Lines>
  <Paragraphs>5</Paragraphs>
  <ScaleCrop>false</ScaleCrop>
  <Company>Microsoft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张肖军(拟稿)</dc:creator>
  <cp:lastModifiedBy>HP</cp:lastModifiedBy>
  <cp:revision>2</cp:revision>
  <cp:lastPrinted>2022-06-30T08:07:00Z</cp:lastPrinted>
  <dcterms:created xsi:type="dcterms:W3CDTF">2025-05-26T11:14:00Z</dcterms:created>
  <dcterms:modified xsi:type="dcterms:W3CDTF">2025-05-26T11:14:00Z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Adobe Acrobat Pro 11.0.7</vt:lpwstr>
  </property>
  <property fmtid="{D5CDD505-2E9C-101B-9397-08002B2CF9AE}" pid="4" name="LastSaved">
    <vt:filetime>2021-08-19T00:00:00Z</vt:filetime>
  </property>
  <property fmtid="{D5CDD505-2E9C-101B-9397-08002B2CF9AE}" pid="5" name="KSOProductBuildVer">
    <vt:lpwstr>2052-11.1.0.10578</vt:lpwstr>
  </property>
  <property fmtid="{D5CDD505-2E9C-101B-9397-08002B2CF9AE}" pid="6" name="ICV">
    <vt:lpwstr>6DC23D60096A4C2BBBD49EB0BA22C0CD</vt:lpwstr>
  </property>
</Properties>
</file>