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left="408"/>
        <w:jc w:val="center"/>
        <w:rPr>
          <w:rFonts w:hint="eastAsia" w:ascii="宋体" w:hAnsi="宋体" w:eastAsia="宋体" w:cs="宋体"/>
          <w:spacing w:val="8"/>
          <w:sz w:val="36"/>
          <w:szCs w:val="36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8"/>
          <w:sz w:val="36"/>
          <w:szCs w:val="36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拟申报/推荐</w:t>
      </w:r>
      <w:r>
        <w:rPr>
          <w:rFonts w:hint="eastAsia" w:ascii="宋体" w:hAnsi="宋体" w:eastAsia="宋体" w:cs="宋体"/>
          <w:spacing w:val="-50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pacing w:val="8"/>
          <w:sz w:val="36"/>
          <w:szCs w:val="36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hint="eastAsia" w:ascii="宋体" w:hAnsi="宋体" w:eastAsia="宋体" w:cs="宋体"/>
          <w:spacing w:val="-52"/>
          <w:sz w:val="36"/>
          <w:szCs w:val="36"/>
          <w:lang w:eastAsia="zh-CN"/>
        </w:rPr>
        <w:t xml:space="preserve"> </w:t>
      </w:r>
      <w:r>
        <w:rPr>
          <w:rFonts w:hint="eastAsia" w:ascii="宋体" w:hAnsi="宋体" w:eastAsia="宋体" w:cs="宋体"/>
          <w:spacing w:val="8"/>
          <w:sz w:val="36"/>
          <w:szCs w:val="36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年江苏省瑞华慈善基金会</w:t>
      </w:r>
    </w:p>
    <w:p>
      <w:pPr>
        <w:spacing w:before="63" w:line="224" w:lineRule="auto"/>
        <w:ind w:left="408"/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pacing w:val="8"/>
          <w:sz w:val="36"/>
          <w:szCs w:val="36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临床研究创新奖</w:t>
      </w:r>
      <w:r>
        <w:rPr>
          <w:rFonts w:hint="eastAsia" w:ascii="宋体" w:hAnsi="宋体" w:eastAsia="宋体" w:cs="宋体"/>
          <w:spacing w:val="7"/>
          <w:sz w:val="36"/>
          <w:szCs w:val="36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项目公示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推荐奖种</w:t>
      </w:r>
    </w:p>
    <w:p>
      <w:pPr>
        <w:pStyle w:val="12"/>
        <w:keepNext w:val="0"/>
        <w:keepLines w:val="0"/>
        <w:pageBreakBefore w:val="0"/>
        <w:widowControl w:val="0"/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/>
          <w:b w:val="0"/>
          <w:sz w:val="24"/>
        </w:rPr>
        <w:t>临床研究创新奖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项目名称</w:t>
      </w:r>
    </w:p>
    <w:p>
      <w:pPr>
        <w:pStyle w:val="12"/>
        <w:keepNext w:val="0"/>
        <w:keepLines w:val="0"/>
        <w:pageBreakBefore w:val="0"/>
        <w:widowControl w:val="0"/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/>
          <w:b w:val="0"/>
          <w:sz w:val="24"/>
        </w:rPr>
        <w:t>新生儿坏死性小肠结肠炎防治体系的构建与临床研究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推荐院士或自由申报</w:t>
      </w:r>
    </w:p>
    <w:p>
      <w:pPr>
        <w:pStyle w:val="12"/>
        <w:keepNext w:val="0"/>
        <w:keepLines w:val="0"/>
        <w:pageBreakBefore w:val="0"/>
        <w:widowControl w:val="0"/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/>
          <w:b w:val="0"/>
          <w:sz w:val="24"/>
        </w:rPr>
        <w:t>自由申报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推荐意见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wordWrap/>
        <w:topLinePunct w:val="0"/>
        <w:bidi w:val="0"/>
        <w:spacing w:line="460" w:lineRule="exact"/>
        <w:ind w:leftChars="0"/>
        <w:jc w:val="left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/>
          <w:b w:val="0"/>
          <w:sz w:val="24"/>
          <w:lang w:eastAsia="zh-CN"/>
        </w:rPr>
        <w:t>同意推荐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项目简介</w:t>
      </w:r>
    </w:p>
    <w:p>
      <w:pPr>
        <w:pStyle w:val="12"/>
        <w:keepNext w:val="0"/>
        <w:keepLines w:val="0"/>
        <w:pageBreakBefore w:val="0"/>
        <w:widowControl w:val="0"/>
        <w:wordWrap/>
        <w:topLinePunct w:val="0"/>
        <w:bidi w:val="0"/>
        <w:spacing w:line="460" w:lineRule="exact"/>
        <w:ind w:left="0" w:firstLine="480" w:firstLineChars="200"/>
        <w:jc w:val="left"/>
        <w:textAlignment w:val="auto"/>
        <w:rPr>
          <w:rFonts w:ascii="Times New Roman" w:hAnsi="Times New Roman" w:eastAsia="宋体" w:cs="Times New Roman"/>
          <w:b w:val="0"/>
          <w:sz w:val="24"/>
        </w:rPr>
      </w:pPr>
      <w:r>
        <w:rPr>
          <w:rFonts w:hint="eastAsia" w:ascii="Times New Roman" w:hAnsi="Times New Roman" w:eastAsia="宋体" w:cs="Times New Roman"/>
          <w:b w:val="0"/>
          <w:sz w:val="24"/>
        </w:rPr>
        <w:t>新生儿坏死性小肠结肠炎（</w:t>
      </w:r>
      <w:r>
        <w:rPr>
          <w:rFonts w:ascii="Times New Roman" w:hAnsi="Times New Roman" w:eastAsia="宋体" w:cs="Times New Roman"/>
          <w:b w:val="0"/>
          <w:sz w:val="24"/>
        </w:rPr>
        <w:t>Necrotizing enterocolitis，NEC）是新生儿尤其早产儿最常见的消化道危急重症，</w:t>
      </w:r>
      <w:r>
        <w:rPr>
          <w:rFonts w:hint="eastAsia" w:ascii="Times New Roman" w:hAnsi="Times New Roman" w:eastAsia="宋体" w:cs="Times New Roman"/>
          <w:b w:val="0"/>
          <w:sz w:val="24"/>
        </w:rPr>
        <w:t>严重威胁患儿身体健康。</w:t>
      </w:r>
      <w:r>
        <w:rPr>
          <w:rFonts w:ascii="Times New Roman" w:hAnsi="Times New Roman" w:eastAsia="宋体" w:cs="Times New Roman"/>
          <w:b w:val="0"/>
          <w:sz w:val="24"/>
        </w:rPr>
        <w:t>NEC具有死亡率高、治疗手段匮乏、治疗周期长、预后差等</w:t>
      </w:r>
      <w:r>
        <w:rPr>
          <w:rFonts w:hint="eastAsia" w:ascii="Times New Roman" w:hAnsi="Times New Roman" w:eastAsia="宋体" w:cs="Times New Roman"/>
          <w:b w:val="0"/>
          <w:sz w:val="24"/>
        </w:rPr>
        <w:t>特点。如何降低</w:t>
      </w:r>
      <w:r>
        <w:rPr>
          <w:rFonts w:ascii="Times New Roman" w:hAnsi="Times New Roman" w:eastAsia="宋体" w:cs="Times New Roman"/>
          <w:b w:val="0"/>
          <w:sz w:val="24"/>
        </w:rPr>
        <w:t>NICU中NEC的发生率</w:t>
      </w:r>
      <w:r>
        <w:rPr>
          <w:rFonts w:hint="eastAsia" w:ascii="Times New Roman" w:hAnsi="Times New Roman" w:eastAsia="宋体" w:cs="Times New Roman"/>
          <w:b w:val="0"/>
          <w:sz w:val="24"/>
        </w:rPr>
        <w:t>和提高N</w:t>
      </w:r>
      <w:r>
        <w:rPr>
          <w:rFonts w:ascii="Times New Roman" w:hAnsi="Times New Roman" w:eastAsia="宋体" w:cs="Times New Roman"/>
          <w:b w:val="0"/>
          <w:sz w:val="24"/>
        </w:rPr>
        <w:t>EC</w:t>
      </w:r>
      <w:r>
        <w:rPr>
          <w:rFonts w:hint="eastAsia" w:ascii="Times New Roman" w:hAnsi="Times New Roman" w:eastAsia="宋体" w:cs="Times New Roman"/>
          <w:b w:val="0"/>
          <w:sz w:val="24"/>
        </w:rPr>
        <w:t>患儿的生存质量是一大挑战。本项目组近</w:t>
      </w:r>
      <w:r>
        <w:rPr>
          <w:rFonts w:ascii="Times New Roman" w:hAnsi="Times New Roman" w:eastAsia="宋体" w:cs="Times New Roman"/>
          <w:b w:val="0"/>
          <w:sz w:val="24"/>
        </w:rPr>
        <w:t>5年一直致力于</w:t>
      </w:r>
      <w:r>
        <w:rPr>
          <w:rFonts w:hint="eastAsia" w:ascii="Times New Roman" w:hAnsi="Times New Roman" w:eastAsia="宋体" w:cs="Times New Roman"/>
          <w:b w:val="0"/>
          <w:sz w:val="24"/>
        </w:rPr>
        <w:t>N</w:t>
      </w:r>
      <w:r>
        <w:rPr>
          <w:rFonts w:ascii="Times New Roman" w:hAnsi="Times New Roman" w:eastAsia="宋体" w:cs="Times New Roman"/>
          <w:b w:val="0"/>
          <w:sz w:val="24"/>
        </w:rPr>
        <w:t>EC</w:t>
      </w:r>
      <w:r>
        <w:rPr>
          <w:rFonts w:hint="eastAsia" w:ascii="Times New Roman" w:hAnsi="Times New Roman" w:eastAsia="宋体" w:cs="Times New Roman"/>
          <w:b w:val="0"/>
          <w:sz w:val="24"/>
        </w:rPr>
        <w:t>防治体系的构建与临床研究，从</w:t>
      </w:r>
      <w:r>
        <w:rPr>
          <w:rFonts w:ascii="Times New Roman" w:hAnsi="Times New Roman" w:eastAsia="宋体" w:cs="Times New Roman"/>
          <w:b w:val="0"/>
          <w:sz w:val="24"/>
        </w:rPr>
        <w:t>NEC</w:t>
      </w:r>
      <w:r>
        <w:rPr>
          <w:rFonts w:hint="eastAsia" w:ascii="Times New Roman" w:hAnsi="Times New Roman" w:eastAsia="宋体" w:cs="Times New Roman"/>
          <w:b w:val="0"/>
          <w:sz w:val="24"/>
        </w:rPr>
        <w:t>预警风险评估及预防</w:t>
      </w:r>
      <w:r>
        <w:rPr>
          <w:rFonts w:ascii="Times New Roman" w:hAnsi="Times New Roman" w:eastAsia="宋体" w:cs="Times New Roman"/>
          <w:b w:val="0"/>
          <w:sz w:val="24"/>
        </w:rPr>
        <w:t>，优化肠内营养支持技术，</w:t>
      </w:r>
      <w:r>
        <w:rPr>
          <w:rFonts w:hint="eastAsia" w:ascii="Times New Roman" w:hAnsi="Times New Roman" w:eastAsia="宋体" w:cs="Times New Roman"/>
          <w:b w:val="0"/>
          <w:sz w:val="24"/>
        </w:rPr>
        <w:t>人乳库建设与运行、亲母母乳喂养质量改进、母乳生物活性成分研究、外科手术关键技术、肠衰竭诊治等方面构建</w:t>
      </w:r>
      <w:r>
        <w:rPr>
          <w:rFonts w:ascii="Times New Roman" w:hAnsi="Times New Roman" w:eastAsia="宋体" w:cs="Times New Roman"/>
          <w:b w:val="0"/>
          <w:sz w:val="24"/>
        </w:rPr>
        <w:t>NEC</w:t>
      </w:r>
      <w:r>
        <w:rPr>
          <w:rFonts w:hint="eastAsia" w:ascii="Times New Roman" w:hAnsi="Times New Roman" w:eastAsia="宋体" w:cs="Times New Roman"/>
          <w:b w:val="0"/>
          <w:sz w:val="24"/>
        </w:rPr>
        <w:t>防治体系，不仅降低N</w:t>
      </w:r>
      <w:r>
        <w:rPr>
          <w:rFonts w:ascii="Times New Roman" w:hAnsi="Times New Roman" w:eastAsia="宋体" w:cs="Times New Roman"/>
          <w:b w:val="0"/>
          <w:sz w:val="24"/>
        </w:rPr>
        <w:t>EC</w:t>
      </w:r>
      <w:r>
        <w:rPr>
          <w:rFonts w:hint="eastAsia" w:ascii="Times New Roman" w:hAnsi="Times New Roman" w:eastAsia="宋体" w:cs="Times New Roman"/>
          <w:b w:val="0"/>
          <w:sz w:val="24"/>
        </w:rPr>
        <w:t>发生率，而且改善N</w:t>
      </w:r>
      <w:r>
        <w:rPr>
          <w:rFonts w:ascii="Times New Roman" w:hAnsi="Times New Roman" w:eastAsia="宋体" w:cs="Times New Roman"/>
          <w:b w:val="0"/>
          <w:sz w:val="24"/>
        </w:rPr>
        <w:t>EC</w:t>
      </w:r>
      <w:r>
        <w:rPr>
          <w:rFonts w:hint="eastAsia" w:ascii="Times New Roman" w:hAnsi="Times New Roman" w:eastAsia="宋体" w:cs="Times New Roman"/>
          <w:b w:val="0"/>
          <w:sz w:val="24"/>
        </w:rPr>
        <w:t>预后，提高患儿生存质量。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知识产权证明目录</w:t>
      </w:r>
    </w:p>
    <w:p>
      <w:pPr>
        <w:pStyle w:val="12"/>
        <w:keepNext w:val="0"/>
        <w:keepLines w:val="0"/>
        <w:pageBreakBefore w:val="0"/>
        <w:widowControl w:val="0"/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 w:val="0"/>
          <w:sz w:val="24"/>
        </w:rPr>
      </w:pPr>
      <w:r>
        <w:rPr>
          <w:rFonts w:hint="eastAsia" w:ascii="Times New Roman" w:hAnsi="Times New Roman" w:eastAsia="宋体"/>
          <w:b w:val="0"/>
          <w:sz w:val="24"/>
        </w:rPr>
        <w:t>无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代表性论文目录</w:t>
      </w:r>
    </w:p>
    <w:tbl>
      <w:tblPr>
        <w:tblStyle w:val="8"/>
        <w:tblW w:w="9945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140"/>
        <w:gridCol w:w="1410"/>
        <w:gridCol w:w="217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both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序号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both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论文名称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both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刊名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both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年，卷（期），页码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both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1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持续母乳喂养质量改进对极超低出生体重儿的影响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中华围产医学杂志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2019, 22(7): 451-456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  <w:highlight w:val="yellow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陈小慧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2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极低和超低出生体重儿住院期间人乳喂养现状调查分析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中华儿科杂志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2020, 58(5): 387-391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3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极/超低出生体重儿住院期间人乳喂养情况</w:t>
            </w:r>
            <w:r>
              <w:rPr>
                <w:rFonts w:hint="eastAsia" w:ascii="Times New Roman" w:hAnsi="Times New Roman" w:eastAsia="宋体" w:cs="Times New Roman"/>
                <w:b w:val="0"/>
                <w:sz w:val="24"/>
              </w:rPr>
              <w:t>多中心回顾性分析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中华新生儿科杂志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2020, 35(3): 164-169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4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 w:val="24"/>
                <w:szCs w:val="21"/>
              </w:rPr>
              <w:t>Identification and Peptidomic Profiling of Exosomes in Preterm Human Milk: Insights Into Necrotizing Enterocolitis Prevention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sz w:val="24"/>
                <w:szCs w:val="21"/>
              </w:rPr>
              <w:t>Mol Nutr Food Res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2019:e1801247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余章斌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曹彦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5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Peptidomic analysis reveals multiple protection of human breast milk on infants during different stages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J Cell Physiol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2019, 234(9): 15510-15526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王星云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6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Dose-dependent effect of human milk on Bronchopulmonary dysplasia in very low birth weight infants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BMC Pediatrics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2020, 20(1):522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王军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7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Lipidomic Profiling of Human Milk Derived Exosomes and Their Emerging Roles in the Prevention of Necrotizing Enterocolitis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Mol Nutr Food Res.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2021;65(10):e2000845.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8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Using a WeChat mini-program-based lactation consultant intervention to increase the consumption of mother's own milk by preterm infants in the neonatal intensive care unit: a study protocol for a cluster randomized controlled trial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Trials.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2021, 24;22(1):834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9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Eight-year operation status and data analysis of the first human milk bank in East China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Int Breastfeed J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.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2022</w:t>
            </w:r>
            <w:r>
              <w:rPr>
                <w:rFonts w:hint="eastAsia" w:ascii="Times New Roman" w:hAnsi="Times New Roman" w:eastAsia="宋体" w:cs="Times New Roman"/>
                <w:b w:val="0"/>
                <w:sz w:val="24"/>
              </w:rPr>
              <w:t>,</w:t>
            </w:r>
            <w:r>
              <w:rPr>
                <w:rFonts w:ascii="Times New Roman" w:hAnsi="Times New Roman" w:eastAsia="宋体" w:cs="Times New Roman"/>
                <w:b w:val="0"/>
                <w:sz w:val="24"/>
              </w:rPr>
              <w:t xml:space="preserve"> 17(1), 65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1</w:t>
            </w:r>
            <w:r>
              <w:rPr>
                <w:rFonts w:ascii="Times New Roman" w:hAnsi="Times New Roman" w:eastAsia="宋体"/>
                <w:b w:val="0"/>
                <w:sz w:val="24"/>
              </w:rPr>
              <w:t>0</w:t>
            </w:r>
          </w:p>
        </w:tc>
        <w:tc>
          <w:tcPr>
            <w:tcW w:w="414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Peptide Tat(48-60) YVEEL protects against necrotizing enterocolitis through inhibition of toll-like receptor 4-mediated signaling in a phosphatidylinositol 3-kinase/AKT dependent manner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Front Nutr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sz w:val="24"/>
              </w:rPr>
              <w:t>2022, 9:992145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left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陈小慧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 w:val="0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完成人情况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60"/>
        <w:gridCol w:w="1440"/>
        <w:gridCol w:w="1380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姓名</w:t>
            </w:r>
          </w:p>
        </w:tc>
        <w:tc>
          <w:tcPr>
            <w:tcW w:w="12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排名</w:t>
            </w:r>
          </w:p>
        </w:tc>
        <w:tc>
          <w:tcPr>
            <w:tcW w:w="144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职称</w:t>
            </w:r>
          </w:p>
        </w:tc>
        <w:tc>
          <w:tcPr>
            <w:tcW w:w="138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行政职务</w:t>
            </w:r>
          </w:p>
        </w:tc>
        <w:tc>
          <w:tcPr>
            <w:tcW w:w="320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韩树萍</w:t>
            </w:r>
          </w:p>
        </w:tc>
        <w:tc>
          <w:tcPr>
            <w:tcW w:w="12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第1</w:t>
            </w:r>
          </w:p>
        </w:tc>
        <w:tc>
          <w:tcPr>
            <w:tcW w:w="144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主任医师</w:t>
            </w:r>
          </w:p>
        </w:tc>
        <w:tc>
          <w:tcPr>
            <w:tcW w:w="138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主任</w:t>
            </w:r>
          </w:p>
        </w:tc>
        <w:tc>
          <w:tcPr>
            <w:tcW w:w="320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南京医科大学附属妇产医院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陈小慧</w:t>
            </w:r>
          </w:p>
        </w:tc>
        <w:tc>
          <w:tcPr>
            <w:tcW w:w="12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第2</w:t>
            </w:r>
          </w:p>
        </w:tc>
        <w:tc>
          <w:tcPr>
            <w:tcW w:w="144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主任医师</w:t>
            </w:r>
          </w:p>
        </w:tc>
        <w:tc>
          <w:tcPr>
            <w:tcW w:w="138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副主任</w:t>
            </w:r>
          </w:p>
        </w:tc>
        <w:tc>
          <w:tcPr>
            <w:tcW w:w="320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南京医科大学附属妇产医院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陈文娟</w:t>
            </w:r>
          </w:p>
        </w:tc>
        <w:tc>
          <w:tcPr>
            <w:tcW w:w="12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第3</w:t>
            </w:r>
          </w:p>
        </w:tc>
        <w:tc>
          <w:tcPr>
            <w:tcW w:w="144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住院医师</w:t>
            </w:r>
          </w:p>
        </w:tc>
        <w:tc>
          <w:tcPr>
            <w:tcW w:w="138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-</w:t>
            </w:r>
          </w:p>
        </w:tc>
        <w:tc>
          <w:tcPr>
            <w:tcW w:w="320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南京医科大学附属妇产医院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郭俊斌</w:t>
            </w:r>
          </w:p>
        </w:tc>
        <w:tc>
          <w:tcPr>
            <w:tcW w:w="12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第4</w:t>
            </w:r>
          </w:p>
        </w:tc>
        <w:tc>
          <w:tcPr>
            <w:tcW w:w="144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主任医师</w:t>
            </w:r>
          </w:p>
        </w:tc>
        <w:tc>
          <w:tcPr>
            <w:tcW w:w="138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主任</w:t>
            </w:r>
          </w:p>
        </w:tc>
        <w:tc>
          <w:tcPr>
            <w:tcW w:w="320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南京医科大学附属妇产医院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严湘芸</w:t>
            </w:r>
          </w:p>
        </w:tc>
        <w:tc>
          <w:tcPr>
            <w:tcW w:w="12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第5</w:t>
            </w:r>
          </w:p>
        </w:tc>
        <w:tc>
          <w:tcPr>
            <w:tcW w:w="144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住院医师</w:t>
            </w:r>
          </w:p>
        </w:tc>
        <w:tc>
          <w:tcPr>
            <w:tcW w:w="138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-</w:t>
            </w:r>
          </w:p>
        </w:tc>
        <w:tc>
          <w:tcPr>
            <w:tcW w:w="320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南京医科大学附属妇产医院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张俊</w:t>
            </w:r>
          </w:p>
        </w:tc>
        <w:tc>
          <w:tcPr>
            <w:tcW w:w="12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第6</w:t>
            </w:r>
          </w:p>
        </w:tc>
        <w:tc>
          <w:tcPr>
            <w:tcW w:w="144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主治医师</w:t>
            </w:r>
          </w:p>
        </w:tc>
        <w:tc>
          <w:tcPr>
            <w:tcW w:w="138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-</w:t>
            </w:r>
          </w:p>
        </w:tc>
        <w:tc>
          <w:tcPr>
            <w:tcW w:w="320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南京医科大学附属妇产医院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胡晓山</w:t>
            </w:r>
          </w:p>
        </w:tc>
        <w:tc>
          <w:tcPr>
            <w:tcW w:w="12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第7</w:t>
            </w:r>
          </w:p>
        </w:tc>
        <w:tc>
          <w:tcPr>
            <w:tcW w:w="144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主治医师</w:t>
            </w:r>
          </w:p>
        </w:tc>
        <w:tc>
          <w:tcPr>
            <w:tcW w:w="138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-</w:t>
            </w:r>
          </w:p>
        </w:tc>
        <w:tc>
          <w:tcPr>
            <w:tcW w:w="3209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南京医科大学附属妇产医院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hint="eastAsia" w:ascii="Times New Roman" w:hAnsi="Times New Roman" w:eastAsia="宋体"/>
          <w:b w:val="0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完成单位情况</w:t>
      </w:r>
      <w:bookmarkStart w:id="0" w:name="_GoBack"/>
      <w:bookmarkEnd w:id="0"/>
    </w:p>
    <w:tbl>
      <w:tblPr>
        <w:tblStyle w:val="8"/>
        <w:tblW w:w="0" w:type="auto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单位名称</w:t>
            </w:r>
          </w:p>
        </w:tc>
        <w:tc>
          <w:tcPr>
            <w:tcW w:w="393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排</w:t>
            </w:r>
            <w:r>
              <w:rPr>
                <w:rFonts w:hint="eastAsia" w:ascii="Times New Roman" w:hAnsi="Times New Roman" w:eastAsia="宋体"/>
                <w:b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 w:val="0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南京医科大学附属妇产医院</w:t>
            </w:r>
          </w:p>
        </w:tc>
        <w:tc>
          <w:tcPr>
            <w:tcW w:w="393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46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eastAsia="宋体"/>
                <w:b w:val="0"/>
                <w:sz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</w:rPr>
              <w:t>第</w:t>
            </w:r>
            <w:r>
              <w:rPr>
                <w:rFonts w:hint="eastAsia" w:ascii="Times New Roman" w:hAnsi="Times New Roman" w:eastAsia="宋体"/>
                <w:b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b w:val="0"/>
                <w:sz w:val="24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60" w:lineRule="exact"/>
        <w:ind w:left="0" w:firstLine="0" w:firstLineChars="0"/>
        <w:jc w:val="left"/>
        <w:textAlignment w:val="auto"/>
        <w:rPr>
          <w:rFonts w:ascii="Times New Roman" w:hAnsi="Times New Roman" w:eastAsia="宋体"/>
          <w:b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D159E"/>
    <w:multiLevelType w:val="multilevel"/>
    <w:tmpl w:val="627D159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mExMTFlYzVlZWU5OWQ5N2YwODgwNGY0MDg5ZTUifQ=="/>
  </w:docVars>
  <w:rsids>
    <w:rsidRoot w:val="001D08E4"/>
    <w:rsid w:val="000356BB"/>
    <w:rsid w:val="00052A02"/>
    <w:rsid w:val="00066025"/>
    <w:rsid w:val="00072907"/>
    <w:rsid w:val="000A13D3"/>
    <w:rsid w:val="000C5EC5"/>
    <w:rsid w:val="000E7FEC"/>
    <w:rsid w:val="000F1BA8"/>
    <w:rsid w:val="00105C5B"/>
    <w:rsid w:val="001A4E46"/>
    <w:rsid w:val="001A77BC"/>
    <w:rsid w:val="001D08E4"/>
    <w:rsid w:val="001D5477"/>
    <w:rsid w:val="001E64C5"/>
    <w:rsid w:val="001F7A61"/>
    <w:rsid w:val="00257F24"/>
    <w:rsid w:val="00267552"/>
    <w:rsid w:val="002B5F71"/>
    <w:rsid w:val="002F0055"/>
    <w:rsid w:val="002F2A8F"/>
    <w:rsid w:val="00416F4D"/>
    <w:rsid w:val="004213D6"/>
    <w:rsid w:val="00453907"/>
    <w:rsid w:val="004818F9"/>
    <w:rsid w:val="004C738D"/>
    <w:rsid w:val="004F5F79"/>
    <w:rsid w:val="0050031F"/>
    <w:rsid w:val="005F00E1"/>
    <w:rsid w:val="00636C99"/>
    <w:rsid w:val="00642A02"/>
    <w:rsid w:val="00654EE1"/>
    <w:rsid w:val="00684120"/>
    <w:rsid w:val="006A6635"/>
    <w:rsid w:val="006B2495"/>
    <w:rsid w:val="006E097F"/>
    <w:rsid w:val="0072577D"/>
    <w:rsid w:val="00740508"/>
    <w:rsid w:val="00753230"/>
    <w:rsid w:val="00763B86"/>
    <w:rsid w:val="007D1450"/>
    <w:rsid w:val="007E1DF4"/>
    <w:rsid w:val="007E2187"/>
    <w:rsid w:val="00820FD5"/>
    <w:rsid w:val="00825ADD"/>
    <w:rsid w:val="00836762"/>
    <w:rsid w:val="00897B5A"/>
    <w:rsid w:val="008C2CD6"/>
    <w:rsid w:val="00926502"/>
    <w:rsid w:val="009633E7"/>
    <w:rsid w:val="00A1133C"/>
    <w:rsid w:val="00A12D75"/>
    <w:rsid w:val="00A15E94"/>
    <w:rsid w:val="00A32159"/>
    <w:rsid w:val="00A75515"/>
    <w:rsid w:val="00A9384C"/>
    <w:rsid w:val="00B16DD0"/>
    <w:rsid w:val="00B27707"/>
    <w:rsid w:val="00B51DE7"/>
    <w:rsid w:val="00B72026"/>
    <w:rsid w:val="00B81DEF"/>
    <w:rsid w:val="00B95F75"/>
    <w:rsid w:val="00BB5EE7"/>
    <w:rsid w:val="00BB6DC9"/>
    <w:rsid w:val="00BD1754"/>
    <w:rsid w:val="00C1259C"/>
    <w:rsid w:val="00C64AF1"/>
    <w:rsid w:val="00C92236"/>
    <w:rsid w:val="00CB37F9"/>
    <w:rsid w:val="00CD17AF"/>
    <w:rsid w:val="00D342BB"/>
    <w:rsid w:val="00D573A7"/>
    <w:rsid w:val="00DB7160"/>
    <w:rsid w:val="00E1722E"/>
    <w:rsid w:val="00E378C9"/>
    <w:rsid w:val="00E40CEC"/>
    <w:rsid w:val="00F8293A"/>
    <w:rsid w:val="00F91851"/>
    <w:rsid w:val="00FF1DA2"/>
    <w:rsid w:val="02D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  <w:lang w:eastAsia="en-US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标题1工作手册"/>
    <w:basedOn w:val="2"/>
    <w:qFormat/>
    <w:uiPriority w:val="0"/>
    <w:pPr>
      <w:keepNext w:val="0"/>
      <w:keepLines w:val="0"/>
      <w:tabs>
        <w:tab w:val="left" w:pos="3223"/>
      </w:tabs>
      <w:kinsoku w:val="0"/>
      <w:overflowPunct w:val="0"/>
      <w:autoSpaceDE w:val="0"/>
      <w:autoSpaceDN w:val="0"/>
      <w:adjustRightInd w:val="0"/>
      <w:snapToGrid w:val="0"/>
      <w:spacing w:before="0" w:after="0" w:line="240" w:lineRule="auto"/>
      <w:jc w:val="center"/>
    </w:pPr>
    <w:rPr>
      <w:rFonts w:ascii="华文中宋" w:hAnsi="华文中宋" w:eastAsia="宋体" w:cs="Times New Roman"/>
      <w:sz w:val="36"/>
      <w:szCs w:val="36"/>
    </w:rPr>
  </w:style>
  <w:style w:type="character" w:customStyle="1" w:styleId="14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正文文本 字符"/>
    <w:basedOn w:val="9"/>
    <w:link w:val="3"/>
    <w:semiHidden/>
    <w:uiPriority w:val="0"/>
    <w:rPr>
      <w:rFonts w:ascii="Arial" w:hAnsi="Arial" w:eastAsia="Arial" w:cs="Arial"/>
      <w:snapToGrid w:val="0"/>
      <w:color w:val="000000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F258-4056-4560-B954-34BE2CBA42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321</Words>
  <Characters>1830</Characters>
  <Lines>15</Lines>
  <Paragraphs>4</Paragraphs>
  <TotalTime>5</TotalTime>
  <ScaleCrop>false</ScaleCrop>
  <LinksUpToDate>false</LinksUpToDate>
  <CharactersWithSpaces>2147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2022-09-15T11:46:00Z</dcterms:created>
  <dc:creator>陈 文娟</dc:creator>
  <cp:lastModifiedBy>影</cp:lastModifiedBy>
  <dcterms:modified xsi:type="dcterms:W3CDTF">2023-07-24T01:14:40Z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19434C003F6549E998A0E7246454242A_12</vt:lpwstr>
  </property>
</Properties>
</file>